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18FA2" w14:textId="77777777"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14:paraId="1ADFFD97" w14:textId="77777777" w:rsidR="008002E9" w:rsidRPr="00192D0C" w:rsidRDefault="008002E9" w:rsidP="00192D0C">
      <w:pPr>
        <w:pStyle w:val="NoSpacing"/>
        <w:rPr>
          <w:rFonts w:ascii="Times New Roman" w:hAnsi="Times New Roman" w:cs="Times New Roman"/>
          <w:sz w:val="32"/>
          <w:szCs w:val="32"/>
        </w:rPr>
      </w:pPr>
    </w:p>
    <w:p w14:paraId="1E104520" w14:textId="77777777" w:rsidR="008002E9" w:rsidRDefault="008002E9" w:rsidP="00192D0C">
      <w:pPr>
        <w:pStyle w:val="NoSpacing"/>
        <w:rPr>
          <w:rFonts w:ascii="Times New Roman" w:hAnsi="Times New Roman" w:cs="Times New Roman"/>
          <w:sz w:val="32"/>
          <w:szCs w:val="32"/>
        </w:rPr>
      </w:pPr>
      <w:r w:rsidRPr="00192D0C">
        <w:rPr>
          <w:rFonts w:ascii="Times New Roman" w:hAnsi="Times New Roman" w:cs="Times New Roman"/>
          <w:sz w:val="32"/>
          <w:szCs w:val="32"/>
        </w:rPr>
        <w:t xml:space="preserve">This is </w:t>
      </w:r>
      <w:r w:rsidR="004343BD">
        <w:rPr>
          <w:rFonts w:ascii="Times New Roman" w:hAnsi="Times New Roman" w:cs="Times New Roman"/>
          <w:sz w:val="32"/>
          <w:szCs w:val="32"/>
        </w:rPr>
        <w:t>Chris Magee</w:t>
      </w:r>
      <w:r w:rsidRPr="00192D0C">
        <w:rPr>
          <w:rFonts w:ascii="Times New Roman" w:hAnsi="Times New Roman" w:cs="Times New Roman"/>
          <w:sz w:val="32"/>
          <w:szCs w:val="32"/>
        </w:rPr>
        <w:t xml:space="preserve">. I’m </w:t>
      </w:r>
      <w:r w:rsidR="004343BD">
        <w:rPr>
          <w:rFonts w:ascii="Times New Roman" w:hAnsi="Times New Roman" w:cs="Times New Roman"/>
          <w:sz w:val="32"/>
          <w:szCs w:val="32"/>
        </w:rPr>
        <w:t>the data analytics</w:t>
      </w:r>
      <w:r w:rsidR="00192D0C">
        <w:rPr>
          <w:rFonts w:ascii="Times New Roman" w:hAnsi="Times New Roman" w:cs="Times New Roman"/>
          <w:sz w:val="32"/>
          <w:szCs w:val="32"/>
        </w:rPr>
        <w:t xml:space="preserve"> </w:t>
      </w:r>
      <w:r w:rsidR="00CA2CA9">
        <w:rPr>
          <w:rFonts w:ascii="Times New Roman" w:hAnsi="Times New Roman" w:cs="Times New Roman"/>
          <w:sz w:val="32"/>
          <w:szCs w:val="32"/>
        </w:rPr>
        <w:t>manager</w:t>
      </w:r>
      <w:r w:rsidR="001B66C5" w:rsidRPr="00192D0C">
        <w:rPr>
          <w:rFonts w:ascii="Times New Roman" w:hAnsi="Times New Roman" w:cs="Times New Roman"/>
          <w:sz w:val="32"/>
          <w:szCs w:val="32"/>
        </w:rPr>
        <w:t xml:space="preserve"> for</w:t>
      </w:r>
      <w:r w:rsidRPr="00192D0C">
        <w:rPr>
          <w:rFonts w:ascii="Times New Roman" w:hAnsi="Times New Roman" w:cs="Times New Roman"/>
          <w:sz w:val="32"/>
          <w:szCs w:val="32"/>
        </w:rPr>
        <w:t xml:space="preserve"> LLA</w:t>
      </w:r>
      <w:r w:rsidR="001B66C5" w:rsidRPr="00192D0C">
        <w:rPr>
          <w:rFonts w:ascii="Times New Roman" w:hAnsi="Times New Roman" w:cs="Times New Roman"/>
          <w:sz w:val="32"/>
          <w:szCs w:val="32"/>
        </w:rPr>
        <w:t>’s</w:t>
      </w:r>
      <w:r w:rsidR="00BB483D" w:rsidRPr="00192D0C">
        <w:rPr>
          <w:rFonts w:ascii="Times New Roman" w:hAnsi="Times New Roman" w:cs="Times New Roman"/>
          <w:sz w:val="32"/>
          <w:szCs w:val="32"/>
        </w:rPr>
        <w:t xml:space="preserve"> </w:t>
      </w:r>
      <w:r w:rsidR="00923BF7">
        <w:rPr>
          <w:rFonts w:ascii="Times New Roman" w:hAnsi="Times New Roman" w:cs="Times New Roman"/>
          <w:sz w:val="32"/>
          <w:szCs w:val="32"/>
        </w:rPr>
        <w:t>Performance Audit Services</w:t>
      </w:r>
      <w:r w:rsidRPr="00192D0C">
        <w:rPr>
          <w:rFonts w:ascii="Times New Roman" w:hAnsi="Times New Roman" w:cs="Times New Roman"/>
          <w:sz w:val="32"/>
          <w:szCs w:val="32"/>
        </w:rPr>
        <w:t xml:space="preserve">. This episode of LLA Reports focuses on </w:t>
      </w:r>
      <w:r w:rsidR="00AE5D1F" w:rsidRPr="00192D0C">
        <w:rPr>
          <w:rFonts w:ascii="Times New Roman" w:hAnsi="Times New Roman" w:cs="Times New Roman"/>
          <w:sz w:val="32"/>
          <w:szCs w:val="32"/>
        </w:rPr>
        <w:t>our new</w:t>
      </w:r>
      <w:r w:rsidRPr="00192D0C">
        <w:rPr>
          <w:rFonts w:ascii="Times New Roman" w:hAnsi="Times New Roman" w:cs="Times New Roman"/>
          <w:sz w:val="32"/>
          <w:szCs w:val="32"/>
        </w:rPr>
        <w:t xml:space="preserve"> report titled “</w:t>
      </w:r>
      <w:r w:rsidR="004343BD">
        <w:rPr>
          <w:rFonts w:ascii="Times New Roman" w:hAnsi="Times New Roman" w:cs="Times New Roman"/>
          <w:sz w:val="32"/>
          <w:szCs w:val="32"/>
        </w:rPr>
        <w:t>Workforce Innovation and Opportunity Act</w:t>
      </w:r>
      <w:r w:rsidR="0044066A" w:rsidRPr="00192D0C">
        <w:rPr>
          <w:rFonts w:ascii="Times New Roman" w:hAnsi="Times New Roman" w:cs="Times New Roman"/>
          <w:sz w:val="32"/>
          <w:szCs w:val="32"/>
        </w:rPr>
        <w:t>.</w:t>
      </w:r>
      <w:r w:rsidRPr="00192D0C">
        <w:rPr>
          <w:rFonts w:ascii="Times New Roman" w:hAnsi="Times New Roman" w:cs="Times New Roman"/>
          <w:sz w:val="32"/>
          <w:szCs w:val="32"/>
        </w:rPr>
        <w:t>”</w:t>
      </w:r>
    </w:p>
    <w:p w14:paraId="7138AA19" w14:textId="77777777" w:rsidR="00923BF7" w:rsidRPr="004343BD" w:rsidRDefault="00923BF7" w:rsidP="004343BD">
      <w:pPr>
        <w:pStyle w:val="NoSpacing"/>
        <w:rPr>
          <w:rFonts w:ascii="Times New Roman" w:hAnsi="Times New Roman" w:cs="Times New Roman"/>
          <w:sz w:val="32"/>
          <w:szCs w:val="32"/>
        </w:rPr>
      </w:pPr>
    </w:p>
    <w:p w14:paraId="25E27A3E" w14:textId="77777777" w:rsidR="004343BD" w:rsidRPr="004343BD" w:rsidRDefault="004343BD" w:rsidP="004343BD">
      <w:pPr>
        <w:pStyle w:val="NoSpacing"/>
        <w:rPr>
          <w:rFonts w:ascii="Times New Roman" w:hAnsi="Times New Roman" w:cs="Times New Roman"/>
          <w:sz w:val="32"/>
          <w:szCs w:val="32"/>
        </w:rPr>
      </w:pPr>
      <w:r w:rsidRPr="004343BD">
        <w:rPr>
          <w:rFonts w:ascii="Times New Roman" w:hAnsi="Times New Roman" w:cs="Times New Roman"/>
          <w:sz w:val="32"/>
          <w:szCs w:val="32"/>
        </w:rPr>
        <w:t xml:space="preserve">This report provides the results of our audit of the Workforce Innovation and Opportunity Act </w:t>
      </w:r>
      <w:r>
        <w:rPr>
          <w:rFonts w:ascii="Times New Roman" w:hAnsi="Times New Roman" w:cs="Times New Roman"/>
          <w:sz w:val="32"/>
          <w:szCs w:val="32"/>
        </w:rPr>
        <w:t xml:space="preserve">– or </w:t>
      </w:r>
      <w:r w:rsidRPr="004343BD">
        <w:rPr>
          <w:rFonts w:ascii="Times New Roman" w:hAnsi="Times New Roman" w:cs="Times New Roman"/>
          <w:sz w:val="32"/>
          <w:szCs w:val="32"/>
        </w:rPr>
        <w:t>WIOA</w:t>
      </w:r>
      <w:r w:rsidR="00290E71">
        <w:rPr>
          <w:rFonts w:ascii="Times New Roman" w:hAnsi="Times New Roman" w:cs="Times New Roman"/>
          <w:sz w:val="32"/>
          <w:szCs w:val="32"/>
        </w:rPr>
        <w:t xml:space="preserve"> – programs</w:t>
      </w:r>
      <w:r w:rsidRPr="004343BD">
        <w:rPr>
          <w:rFonts w:ascii="Times New Roman" w:hAnsi="Times New Roman" w:cs="Times New Roman"/>
          <w:sz w:val="32"/>
          <w:szCs w:val="32"/>
        </w:rPr>
        <w:t xml:space="preserve">. The purpose of this audit was to answer questions </w:t>
      </w:r>
      <w:r w:rsidR="00574EC4">
        <w:rPr>
          <w:rFonts w:ascii="Times New Roman" w:hAnsi="Times New Roman" w:cs="Times New Roman"/>
          <w:sz w:val="32"/>
          <w:szCs w:val="32"/>
        </w:rPr>
        <w:t>about</w:t>
      </w:r>
      <w:r w:rsidRPr="004343BD">
        <w:rPr>
          <w:rFonts w:ascii="Times New Roman" w:hAnsi="Times New Roman" w:cs="Times New Roman"/>
          <w:sz w:val="32"/>
          <w:szCs w:val="32"/>
        </w:rPr>
        <w:t xml:space="preserve"> service delivery and administration, WIOA spending and </w:t>
      </w:r>
      <w:r w:rsidR="00574EC4">
        <w:rPr>
          <w:rFonts w:ascii="Times New Roman" w:hAnsi="Times New Roman" w:cs="Times New Roman"/>
          <w:sz w:val="32"/>
          <w:szCs w:val="32"/>
        </w:rPr>
        <w:t xml:space="preserve">the </w:t>
      </w:r>
      <w:r w:rsidRPr="004343BD">
        <w:rPr>
          <w:rFonts w:ascii="Times New Roman" w:hAnsi="Times New Roman" w:cs="Times New Roman"/>
          <w:sz w:val="32"/>
          <w:szCs w:val="32"/>
        </w:rPr>
        <w:t xml:space="preserve">number of participants enrolled compared to the eligible population, program success, and potential improvements.  </w:t>
      </w:r>
    </w:p>
    <w:p w14:paraId="7C786B6B" w14:textId="77777777" w:rsidR="00C031A8" w:rsidRPr="00C031A8" w:rsidRDefault="00C031A8" w:rsidP="00C031A8">
      <w:pPr>
        <w:pStyle w:val="NoSpacing"/>
        <w:rPr>
          <w:rFonts w:ascii="Times New Roman" w:hAnsi="Times New Roman" w:cs="Times New Roman"/>
          <w:sz w:val="32"/>
          <w:szCs w:val="32"/>
        </w:rPr>
      </w:pPr>
    </w:p>
    <w:p w14:paraId="32BDF257"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 xml:space="preserve">WIOA, which is overseen by the Louisiana Workforce Commission </w:t>
      </w:r>
      <w:r w:rsidR="00574EC4">
        <w:rPr>
          <w:rFonts w:ascii="Times New Roman" w:hAnsi="Times New Roman" w:cs="Times New Roman"/>
          <w:sz w:val="32"/>
          <w:szCs w:val="32"/>
        </w:rPr>
        <w:t xml:space="preserve">– or LWC – has </w:t>
      </w:r>
      <w:r w:rsidRPr="00C031A8">
        <w:rPr>
          <w:rFonts w:ascii="Times New Roman" w:hAnsi="Times New Roman" w:cs="Times New Roman"/>
          <w:sz w:val="32"/>
          <w:szCs w:val="32"/>
        </w:rPr>
        <w:t>six core programs that provide career services. This audit focuses on Title I programs, which include the Adult, Dislocated Worker, and Youth programs, and the Title III Wagner-Peyser program.</w:t>
      </w:r>
    </w:p>
    <w:p w14:paraId="3C06C0DB"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 xml:space="preserve">  </w:t>
      </w:r>
    </w:p>
    <w:p w14:paraId="6A2175CF"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 xml:space="preserve">We found the administration of </w:t>
      </w:r>
      <w:r w:rsidR="00574EC4">
        <w:rPr>
          <w:rFonts w:ascii="Times New Roman" w:hAnsi="Times New Roman" w:cs="Times New Roman"/>
          <w:sz w:val="32"/>
          <w:szCs w:val="32"/>
        </w:rPr>
        <w:t xml:space="preserve">the </w:t>
      </w:r>
      <w:r w:rsidRPr="00C031A8">
        <w:rPr>
          <w:rFonts w:ascii="Times New Roman" w:hAnsi="Times New Roman" w:cs="Times New Roman"/>
          <w:sz w:val="32"/>
          <w:szCs w:val="32"/>
        </w:rPr>
        <w:t>Title I and Title III programs involves many layers</w:t>
      </w:r>
      <w:r w:rsidR="00574EC4">
        <w:rPr>
          <w:rFonts w:ascii="Times New Roman" w:hAnsi="Times New Roman" w:cs="Times New Roman"/>
          <w:sz w:val="32"/>
          <w:szCs w:val="32"/>
        </w:rPr>
        <w:t>,</w:t>
      </w:r>
      <w:r w:rsidRPr="00C031A8">
        <w:rPr>
          <w:rFonts w:ascii="Times New Roman" w:hAnsi="Times New Roman" w:cs="Times New Roman"/>
          <w:sz w:val="32"/>
          <w:szCs w:val="32"/>
        </w:rPr>
        <w:t xml:space="preserve"> with funds flowing through several entities, but services are provided primarily through 60 One-Stop Centers throughout the state.</w:t>
      </w:r>
    </w:p>
    <w:p w14:paraId="20B187C1" w14:textId="77777777" w:rsidR="00C031A8" w:rsidRPr="00C031A8" w:rsidRDefault="00C031A8" w:rsidP="00C031A8">
      <w:pPr>
        <w:pStyle w:val="NoSpacing"/>
        <w:rPr>
          <w:rFonts w:ascii="Times New Roman" w:hAnsi="Times New Roman" w:cs="Times New Roman"/>
          <w:sz w:val="32"/>
          <w:szCs w:val="32"/>
        </w:rPr>
      </w:pPr>
    </w:p>
    <w:p w14:paraId="55B1ACC3"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 xml:space="preserve">One-Stop Centers offer a standard range of career services, </w:t>
      </w:r>
      <w:r w:rsidR="0009586F">
        <w:rPr>
          <w:rFonts w:ascii="Times New Roman" w:hAnsi="Times New Roman" w:cs="Times New Roman"/>
          <w:sz w:val="32"/>
          <w:szCs w:val="32"/>
        </w:rPr>
        <w:t>and</w:t>
      </w:r>
      <w:r w:rsidRPr="00C031A8">
        <w:rPr>
          <w:rFonts w:ascii="Times New Roman" w:hAnsi="Times New Roman" w:cs="Times New Roman"/>
          <w:sz w:val="32"/>
          <w:szCs w:val="32"/>
        </w:rPr>
        <w:t xml:space="preserve"> the training services funded by different local workforce development boards</w:t>
      </w:r>
      <w:r w:rsidR="00574EC4">
        <w:rPr>
          <w:rFonts w:ascii="Times New Roman" w:hAnsi="Times New Roman" w:cs="Times New Roman"/>
          <w:sz w:val="32"/>
          <w:szCs w:val="32"/>
        </w:rPr>
        <w:t xml:space="preserve"> – or </w:t>
      </w:r>
      <w:r w:rsidRPr="00C031A8">
        <w:rPr>
          <w:rFonts w:ascii="Times New Roman" w:hAnsi="Times New Roman" w:cs="Times New Roman"/>
          <w:sz w:val="32"/>
          <w:szCs w:val="32"/>
        </w:rPr>
        <w:t>LWDBs</w:t>
      </w:r>
      <w:r w:rsidR="00574EC4">
        <w:rPr>
          <w:rFonts w:ascii="Times New Roman" w:hAnsi="Times New Roman" w:cs="Times New Roman"/>
          <w:sz w:val="32"/>
          <w:szCs w:val="32"/>
        </w:rPr>
        <w:t xml:space="preserve"> – </w:t>
      </w:r>
      <w:r w:rsidRPr="00C031A8">
        <w:rPr>
          <w:rFonts w:ascii="Times New Roman" w:hAnsi="Times New Roman" w:cs="Times New Roman"/>
          <w:sz w:val="32"/>
          <w:szCs w:val="32"/>
        </w:rPr>
        <w:t>vary depending on locally in-demand professions, provider availability, and customer choice.</w:t>
      </w:r>
    </w:p>
    <w:p w14:paraId="1C3D90C8" w14:textId="77777777" w:rsidR="00C031A8" w:rsidRPr="00C031A8" w:rsidRDefault="00C031A8" w:rsidP="00C031A8">
      <w:pPr>
        <w:pStyle w:val="NoSpacing"/>
        <w:rPr>
          <w:rFonts w:ascii="Times New Roman" w:hAnsi="Times New Roman" w:cs="Times New Roman"/>
          <w:sz w:val="32"/>
          <w:szCs w:val="32"/>
        </w:rPr>
      </w:pPr>
    </w:p>
    <w:p w14:paraId="00E7F744"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We found that</w:t>
      </w:r>
      <w:r w:rsidR="00574EC4">
        <w:rPr>
          <w:rFonts w:ascii="Times New Roman" w:hAnsi="Times New Roman" w:cs="Times New Roman"/>
          <w:sz w:val="32"/>
          <w:szCs w:val="32"/>
        </w:rPr>
        <w:t>,</w:t>
      </w:r>
      <w:r w:rsidRPr="00C031A8">
        <w:rPr>
          <w:rFonts w:ascii="Times New Roman" w:hAnsi="Times New Roman" w:cs="Times New Roman"/>
          <w:sz w:val="32"/>
          <w:szCs w:val="32"/>
        </w:rPr>
        <w:t xml:space="preserve"> as of June 2023, LWC had not ensured all LWDBs had memorandums of understanding to provide access to all required partner programs.</w:t>
      </w:r>
    </w:p>
    <w:p w14:paraId="5E059E6E" w14:textId="77777777" w:rsidR="00C031A8" w:rsidRPr="00C031A8" w:rsidRDefault="00C031A8" w:rsidP="00C031A8">
      <w:pPr>
        <w:pStyle w:val="NoSpacing"/>
        <w:rPr>
          <w:rFonts w:ascii="Times New Roman" w:hAnsi="Times New Roman" w:cs="Times New Roman"/>
          <w:sz w:val="32"/>
          <w:szCs w:val="32"/>
        </w:rPr>
      </w:pPr>
    </w:p>
    <w:p w14:paraId="189BBAAE" w14:textId="77777777" w:rsidR="00C031A8" w:rsidRPr="00C031A8" w:rsidRDefault="00C031A8" w:rsidP="00C031A8">
      <w:pPr>
        <w:pStyle w:val="NoSpacing"/>
        <w:rPr>
          <w:rFonts w:ascii="Times New Roman" w:hAnsi="Times New Roman" w:cs="Times New Roman"/>
          <w:sz w:val="32"/>
          <w:szCs w:val="32"/>
        </w:rPr>
      </w:pPr>
    </w:p>
    <w:p w14:paraId="2955668D" w14:textId="77777777" w:rsidR="00C031A8" w:rsidRPr="00C031A8" w:rsidRDefault="00290E71" w:rsidP="00C031A8">
      <w:pPr>
        <w:pStyle w:val="NoSpacing"/>
        <w:rPr>
          <w:rFonts w:ascii="Times New Roman" w:hAnsi="Times New Roman" w:cs="Times New Roman"/>
          <w:sz w:val="32"/>
          <w:szCs w:val="32"/>
        </w:rPr>
      </w:pPr>
      <w:r>
        <w:rPr>
          <w:rFonts w:ascii="Times New Roman" w:hAnsi="Times New Roman" w:cs="Times New Roman"/>
          <w:sz w:val="32"/>
          <w:szCs w:val="32"/>
        </w:rPr>
        <w:lastRenderedPageBreak/>
        <w:t>D</w:t>
      </w:r>
      <w:r w:rsidR="00C031A8" w:rsidRPr="00C031A8">
        <w:rPr>
          <w:rFonts w:ascii="Times New Roman" w:hAnsi="Times New Roman" w:cs="Times New Roman"/>
          <w:sz w:val="32"/>
          <w:szCs w:val="32"/>
        </w:rPr>
        <w:t xml:space="preserve">uring fiscal years 2018 through 2022, Louisiana spent $274.6 million </w:t>
      </w:r>
      <w:r w:rsidR="00574EC4">
        <w:rPr>
          <w:rFonts w:ascii="Times New Roman" w:hAnsi="Times New Roman" w:cs="Times New Roman"/>
          <w:sz w:val="32"/>
          <w:szCs w:val="32"/>
        </w:rPr>
        <w:t xml:space="preserve">dollars </w:t>
      </w:r>
      <w:r w:rsidR="00C031A8" w:rsidRPr="00C031A8">
        <w:rPr>
          <w:rFonts w:ascii="Times New Roman" w:hAnsi="Times New Roman" w:cs="Times New Roman"/>
          <w:sz w:val="32"/>
          <w:szCs w:val="32"/>
        </w:rPr>
        <w:t xml:space="preserve">on the Title I and Title III programs, or an average of $54.9 million </w:t>
      </w:r>
      <w:r w:rsidR="00574EC4">
        <w:rPr>
          <w:rFonts w:ascii="Times New Roman" w:hAnsi="Times New Roman" w:cs="Times New Roman"/>
          <w:sz w:val="32"/>
          <w:szCs w:val="32"/>
        </w:rPr>
        <w:t xml:space="preserve">dollars </w:t>
      </w:r>
      <w:r w:rsidR="00C031A8" w:rsidRPr="00C031A8">
        <w:rPr>
          <w:rFonts w:ascii="Times New Roman" w:hAnsi="Times New Roman" w:cs="Times New Roman"/>
          <w:sz w:val="32"/>
          <w:szCs w:val="32"/>
        </w:rPr>
        <w:t>per year.</w:t>
      </w:r>
    </w:p>
    <w:p w14:paraId="4C4BF1AF" w14:textId="77777777" w:rsidR="00C031A8" w:rsidRPr="00C031A8" w:rsidRDefault="00C031A8" w:rsidP="00C031A8">
      <w:pPr>
        <w:pStyle w:val="NoSpacing"/>
        <w:rPr>
          <w:rFonts w:ascii="Times New Roman" w:hAnsi="Times New Roman" w:cs="Times New Roman"/>
          <w:sz w:val="32"/>
          <w:szCs w:val="32"/>
        </w:rPr>
      </w:pPr>
    </w:p>
    <w:p w14:paraId="1883A4D6" w14:textId="4AC9755B"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In fiscal year 2022, 81.8</w:t>
      </w:r>
      <w:r w:rsidR="00574EC4">
        <w:rPr>
          <w:rFonts w:ascii="Times New Roman" w:hAnsi="Times New Roman" w:cs="Times New Roman"/>
          <w:sz w:val="32"/>
          <w:szCs w:val="32"/>
        </w:rPr>
        <w:t xml:space="preserve"> percent</w:t>
      </w:r>
      <w:r w:rsidRPr="00C031A8">
        <w:rPr>
          <w:rFonts w:ascii="Times New Roman" w:hAnsi="Times New Roman" w:cs="Times New Roman"/>
          <w:sz w:val="32"/>
          <w:szCs w:val="32"/>
        </w:rPr>
        <w:t xml:space="preserve"> of Title I expenditures were spent at the local level by LWDBs, and the local cost per participant ranged from </w:t>
      </w:r>
      <w:r w:rsidR="004C6450">
        <w:rPr>
          <w:rFonts w:ascii="Times New Roman" w:hAnsi="Times New Roman" w:cs="Times New Roman"/>
          <w:sz w:val="32"/>
          <w:szCs w:val="32"/>
        </w:rPr>
        <w:t xml:space="preserve">approximately $3,100 </w:t>
      </w:r>
      <w:r w:rsidR="006F3E54">
        <w:rPr>
          <w:rFonts w:ascii="Times New Roman" w:hAnsi="Times New Roman" w:cs="Times New Roman"/>
          <w:sz w:val="32"/>
          <w:szCs w:val="32"/>
        </w:rPr>
        <w:t>to</w:t>
      </w:r>
      <w:r w:rsidR="006F3E54" w:rsidRPr="00C031A8">
        <w:rPr>
          <w:rFonts w:ascii="Times New Roman" w:hAnsi="Times New Roman" w:cs="Times New Roman"/>
          <w:sz w:val="32"/>
          <w:szCs w:val="32"/>
        </w:rPr>
        <w:t xml:space="preserve"> </w:t>
      </w:r>
      <w:r w:rsidRPr="00C031A8">
        <w:rPr>
          <w:rFonts w:ascii="Times New Roman" w:hAnsi="Times New Roman" w:cs="Times New Roman"/>
          <w:sz w:val="32"/>
          <w:szCs w:val="32"/>
        </w:rPr>
        <w:t>$12,00</w:t>
      </w:r>
      <w:r w:rsidR="004C6450">
        <w:rPr>
          <w:rFonts w:ascii="Times New Roman" w:hAnsi="Times New Roman" w:cs="Times New Roman"/>
          <w:sz w:val="32"/>
          <w:szCs w:val="32"/>
        </w:rPr>
        <w:t>0 dollars</w:t>
      </w:r>
      <w:r w:rsidRPr="00C031A8">
        <w:rPr>
          <w:rFonts w:ascii="Times New Roman" w:hAnsi="Times New Roman" w:cs="Times New Roman"/>
          <w:sz w:val="32"/>
          <w:szCs w:val="32"/>
        </w:rPr>
        <w:t>. LWC spent 61.4</w:t>
      </w:r>
      <w:r w:rsidR="00574EC4">
        <w:rPr>
          <w:rFonts w:ascii="Times New Roman" w:hAnsi="Times New Roman" w:cs="Times New Roman"/>
          <w:sz w:val="32"/>
          <w:szCs w:val="32"/>
        </w:rPr>
        <w:t xml:space="preserve"> percent</w:t>
      </w:r>
      <w:r w:rsidRPr="00C031A8">
        <w:rPr>
          <w:rFonts w:ascii="Times New Roman" w:hAnsi="Times New Roman" w:cs="Times New Roman"/>
          <w:sz w:val="32"/>
          <w:szCs w:val="32"/>
        </w:rPr>
        <w:t xml:space="preserve"> of Title III expenditures at the local level, and the cost per participant varied from </w:t>
      </w:r>
      <w:r w:rsidR="0009586F">
        <w:rPr>
          <w:rFonts w:ascii="Times New Roman" w:hAnsi="Times New Roman" w:cs="Times New Roman"/>
          <w:sz w:val="32"/>
          <w:szCs w:val="32"/>
        </w:rPr>
        <w:t>approximately</w:t>
      </w:r>
      <w:r w:rsidR="004C6450">
        <w:rPr>
          <w:rFonts w:ascii="Times New Roman" w:hAnsi="Times New Roman" w:cs="Times New Roman"/>
          <w:sz w:val="32"/>
          <w:szCs w:val="32"/>
        </w:rPr>
        <w:t xml:space="preserve"> </w:t>
      </w:r>
      <w:r w:rsidRPr="00C031A8">
        <w:rPr>
          <w:rFonts w:ascii="Times New Roman" w:hAnsi="Times New Roman" w:cs="Times New Roman"/>
          <w:sz w:val="32"/>
          <w:szCs w:val="32"/>
        </w:rPr>
        <w:t>$</w:t>
      </w:r>
      <w:r w:rsidR="004C6450">
        <w:rPr>
          <w:rFonts w:ascii="Times New Roman" w:hAnsi="Times New Roman" w:cs="Times New Roman"/>
          <w:sz w:val="32"/>
          <w:szCs w:val="32"/>
        </w:rPr>
        <w:t>80</w:t>
      </w:r>
      <w:r w:rsidRPr="00C031A8">
        <w:rPr>
          <w:rFonts w:ascii="Times New Roman" w:hAnsi="Times New Roman" w:cs="Times New Roman"/>
          <w:sz w:val="32"/>
          <w:szCs w:val="32"/>
        </w:rPr>
        <w:t xml:space="preserve"> </w:t>
      </w:r>
      <w:r w:rsidR="006F3E54">
        <w:rPr>
          <w:rFonts w:ascii="Times New Roman" w:hAnsi="Times New Roman" w:cs="Times New Roman"/>
          <w:sz w:val="32"/>
          <w:szCs w:val="32"/>
        </w:rPr>
        <w:t>to</w:t>
      </w:r>
      <w:r w:rsidR="006F3E54" w:rsidRPr="00C031A8">
        <w:rPr>
          <w:rFonts w:ascii="Times New Roman" w:hAnsi="Times New Roman" w:cs="Times New Roman"/>
          <w:sz w:val="32"/>
          <w:szCs w:val="32"/>
        </w:rPr>
        <w:t xml:space="preserve"> </w:t>
      </w:r>
      <w:r w:rsidR="004C6450">
        <w:rPr>
          <w:rFonts w:ascii="Times New Roman" w:hAnsi="Times New Roman" w:cs="Times New Roman"/>
          <w:sz w:val="32"/>
          <w:szCs w:val="32"/>
        </w:rPr>
        <w:t xml:space="preserve">about </w:t>
      </w:r>
      <w:r w:rsidRPr="00C031A8">
        <w:rPr>
          <w:rFonts w:ascii="Times New Roman" w:hAnsi="Times New Roman" w:cs="Times New Roman"/>
          <w:sz w:val="32"/>
          <w:szCs w:val="32"/>
        </w:rPr>
        <w:t>$1,1</w:t>
      </w:r>
      <w:r w:rsidR="004C6450">
        <w:rPr>
          <w:rFonts w:ascii="Times New Roman" w:hAnsi="Times New Roman" w:cs="Times New Roman"/>
          <w:sz w:val="32"/>
          <w:szCs w:val="32"/>
        </w:rPr>
        <w:t>00 dollars</w:t>
      </w:r>
      <w:r w:rsidRPr="00C031A8">
        <w:rPr>
          <w:rFonts w:ascii="Times New Roman" w:hAnsi="Times New Roman" w:cs="Times New Roman"/>
          <w:sz w:val="32"/>
          <w:szCs w:val="32"/>
        </w:rPr>
        <w:t>.</w:t>
      </w:r>
    </w:p>
    <w:p w14:paraId="0D576C8E" w14:textId="77777777" w:rsidR="00C031A8" w:rsidRPr="00C031A8" w:rsidRDefault="00C031A8" w:rsidP="00C031A8">
      <w:pPr>
        <w:pStyle w:val="NoSpacing"/>
        <w:rPr>
          <w:rFonts w:ascii="Times New Roman" w:hAnsi="Times New Roman" w:cs="Times New Roman"/>
          <w:sz w:val="32"/>
          <w:szCs w:val="32"/>
        </w:rPr>
      </w:pPr>
    </w:p>
    <w:p w14:paraId="6DEC29A6" w14:textId="77777777" w:rsidR="00C031A8" w:rsidRPr="00290E71" w:rsidRDefault="00C031A8" w:rsidP="00290E71">
      <w:pPr>
        <w:pStyle w:val="NoSpacing"/>
        <w:rPr>
          <w:rFonts w:ascii="Times New Roman" w:hAnsi="Times New Roman" w:cs="Times New Roman"/>
          <w:sz w:val="32"/>
          <w:szCs w:val="32"/>
        </w:rPr>
      </w:pPr>
      <w:r w:rsidRPr="00290E71">
        <w:rPr>
          <w:rFonts w:ascii="Times New Roman" w:hAnsi="Times New Roman" w:cs="Times New Roman"/>
          <w:sz w:val="32"/>
          <w:szCs w:val="32"/>
        </w:rPr>
        <w:t>We found</w:t>
      </w:r>
      <w:r w:rsidR="00290E71" w:rsidRPr="00290E71">
        <w:rPr>
          <w:rFonts w:ascii="Times New Roman" w:hAnsi="Times New Roman" w:cs="Times New Roman"/>
          <w:sz w:val="32"/>
          <w:szCs w:val="32"/>
        </w:rPr>
        <w:t xml:space="preserve"> also</w:t>
      </w:r>
      <w:r w:rsidRPr="00290E71">
        <w:rPr>
          <w:rFonts w:ascii="Times New Roman" w:hAnsi="Times New Roman" w:cs="Times New Roman"/>
          <w:sz w:val="32"/>
          <w:szCs w:val="32"/>
        </w:rPr>
        <w:t xml:space="preserve"> that in fiscal years 2019 and 2022, Title I and III programs enrolled only a small percentage of the individuals potentially eligible.</w:t>
      </w:r>
      <w:r w:rsidR="00290E71" w:rsidRPr="00290E71">
        <w:rPr>
          <w:rFonts w:ascii="Times New Roman" w:hAnsi="Times New Roman" w:cs="Times New Roman"/>
          <w:sz w:val="32"/>
          <w:szCs w:val="32"/>
        </w:rPr>
        <w:t xml:space="preserve"> Consistent branding and a more centralized online presence could help LWDBs ensure potential participants are aware of available locations and services.</w:t>
      </w:r>
    </w:p>
    <w:p w14:paraId="1806A9A3" w14:textId="77777777" w:rsidR="00C031A8" w:rsidRPr="00290E71" w:rsidRDefault="00C031A8" w:rsidP="00290E71">
      <w:pPr>
        <w:pStyle w:val="NoSpacing"/>
        <w:rPr>
          <w:rFonts w:ascii="Times New Roman" w:hAnsi="Times New Roman" w:cs="Times New Roman"/>
          <w:sz w:val="32"/>
          <w:szCs w:val="32"/>
        </w:rPr>
      </w:pPr>
    </w:p>
    <w:p w14:paraId="52A68E15"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Additionally, we found that Louisiana met its performance indicator targets in fiscal years 2019 through 2022. Based on performance indicators for fiscal year 2022, we found that Louisiana participants gained credentials and skills at a higher rate than participants in other states, but obtained jobs at a lower rate.</w:t>
      </w:r>
    </w:p>
    <w:p w14:paraId="5AA59A7D" w14:textId="77777777" w:rsidR="00C031A8" w:rsidRPr="00C031A8" w:rsidRDefault="00C031A8" w:rsidP="00C031A8">
      <w:pPr>
        <w:pStyle w:val="NoSpacing"/>
        <w:rPr>
          <w:rFonts w:ascii="Times New Roman" w:hAnsi="Times New Roman" w:cs="Times New Roman"/>
          <w:sz w:val="32"/>
          <w:szCs w:val="32"/>
        </w:rPr>
      </w:pPr>
    </w:p>
    <w:p w14:paraId="1E24859A"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Also, while the majority of participants who exited Title I and III programs in fiscal years 2019 and 202</w:t>
      </w:r>
      <w:r w:rsidR="00574EC4">
        <w:rPr>
          <w:rFonts w:ascii="Times New Roman" w:hAnsi="Times New Roman" w:cs="Times New Roman"/>
          <w:sz w:val="32"/>
          <w:szCs w:val="32"/>
        </w:rPr>
        <w:t xml:space="preserve">1 </w:t>
      </w:r>
      <w:r w:rsidRPr="00C031A8">
        <w:rPr>
          <w:rFonts w:ascii="Times New Roman" w:hAnsi="Times New Roman" w:cs="Times New Roman"/>
          <w:sz w:val="32"/>
          <w:szCs w:val="32"/>
        </w:rPr>
        <w:t xml:space="preserve">found employment afterward, their earnings were often lower than </w:t>
      </w:r>
      <w:r w:rsidR="0009586F">
        <w:rPr>
          <w:rFonts w:ascii="Times New Roman" w:hAnsi="Times New Roman" w:cs="Times New Roman"/>
          <w:sz w:val="32"/>
          <w:szCs w:val="32"/>
        </w:rPr>
        <w:t xml:space="preserve">two to three quarters </w:t>
      </w:r>
      <w:r w:rsidRPr="00C031A8">
        <w:rPr>
          <w:rFonts w:ascii="Times New Roman" w:hAnsi="Times New Roman" w:cs="Times New Roman"/>
          <w:sz w:val="32"/>
          <w:szCs w:val="32"/>
        </w:rPr>
        <w:t xml:space="preserve">before </w:t>
      </w:r>
      <w:r w:rsidR="0009586F">
        <w:rPr>
          <w:rFonts w:ascii="Times New Roman" w:hAnsi="Times New Roman" w:cs="Times New Roman"/>
          <w:sz w:val="32"/>
          <w:szCs w:val="32"/>
        </w:rPr>
        <w:t xml:space="preserve">program </w:t>
      </w:r>
      <w:r w:rsidRPr="00C031A8">
        <w:rPr>
          <w:rFonts w:ascii="Times New Roman" w:hAnsi="Times New Roman" w:cs="Times New Roman"/>
          <w:sz w:val="32"/>
          <w:szCs w:val="32"/>
        </w:rPr>
        <w:t>participat</w:t>
      </w:r>
      <w:r w:rsidR="0009586F">
        <w:rPr>
          <w:rFonts w:ascii="Times New Roman" w:hAnsi="Times New Roman" w:cs="Times New Roman"/>
          <w:sz w:val="32"/>
          <w:szCs w:val="32"/>
        </w:rPr>
        <w:t>ion</w:t>
      </w:r>
      <w:r w:rsidRPr="00C031A8">
        <w:rPr>
          <w:rFonts w:ascii="Times New Roman" w:hAnsi="Times New Roman" w:cs="Times New Roman"/>
          <w:sz w:val="32"/>
          <w:szCs w:val="32"/>
        </w:rPr>
        <w:t>. Most WIOA participants did not have earnings after they completed the programs that were high enough to be self-sufficient.</w:t>
      </w:r>
    </w:p>
    <w:p w14:paraId="7A2636C4" w14:textId="77777777" w:rsidR="00C031A8" w:rsidRPr="00C031A8" w:rsidRDefault="00C031A8" w:rsidP="00C031A8">
      <w:pPr>
        <w:pStyle w:val="NoSpacing"/>
        <w:rPr>
          <w:rFonts w:ascii="Times New Roman" w:hAnsi="Times New Roman" w:cs="Times New Roman"/>
          <w:sz w:val="32"/>
          <w:szCs w:val="32"/>
        </w:rPr>
      </w:pPr>
    </w:p>
    <w:p w14:paraId="270FE488" w14:textId="77777777" w:rsidR="00C031A8" w:rsidRPr="00C031A8"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t xml:space="preserve">We found that the majority of Title I participants did not </w:t>
      </w:r>
      <w:r w:rsidR="0009586F">
        <w:rPr>
          <w:rFonts w:ascii="Times New Roman" w:hAnsi="Times New Roman" w:cs="Times New Roman"/>
          <w:sz w:val="32"/>
          <w:szCs w:val="32"/>
        </w:rPr>
        <w:t>obtain</w:t>
      </w:r>
      <w:r w:rsidRPr="00C031A8">
        <w:rPr>
          <w:rFonts w:ascii="Times New Roman" w:hAnsi="Times New Roman" w:cs="Times New Roman"/>
          <w:sz w:val="32"/>
          <w:szCs w:val="32"/>
        </w:rPr>
        <w:t xml:space="preserve"> jobs related to the training they received in WIOA. However, those who received training had better outcomes than those who did not, especially if they finished the training and/or obtained jobs related to their training.</w:t>
      </w:r>
    </w:p>
    <w:p w14:paraId="27BEFB77" w14:textId="77777777" w:rsidR="00C031A8" w:rsidRPr="00C031A8" w:rsidRDefault="00C031A8" w:rsidP="00C031A8">
      <w:pPr>
        <w:pStyle w:val="NoSpacing"/>
        <w:rPr>
          <w:rFonts w:ascii="Times New Roman" w:hAnsi="Times New Roman" w:cs="Times New Roman"/>
          <w:sz w:val="32"/>
          <w:szCs w:val="32"/>
        </w:rPr>
      </w:pPr>
    </w:p>
    <w:p w14:paraId="64C1D7B3" w14:textId="38473C9D" w:rsidR="004343BD" w:rsidRDefault="00C031A8" w:rsidP="00C031A8">
      <w:pPr>
        <w:pStyle w:val="NoSpacing"/>
        <w:rPr>
          <w:rFonts w:ascii="Times New Roman" w:hAnsi="Times New Roman" w:cs="Times New Roman"/>
          <w:sz w:val="32"/>
          <w:szCs w:val="32"/>
        </w:rPr>
      </w:pPr>
      <w:r w:rsidRPr="00C031A8">
        <w:rPr>
          <w:rFonts w:ascii="Times New Roman" w:hAnsi="Times New Roman" w:cs="Times New Roman"/>
          <w:sz w:val="32"/>
          <w:szCs w:val="32"/>
        </w:rPr>
        <w:lastRenderedPageBreak/>
        <w:t>In addition, the majority of participants did not receive supportive services in fiscal year 2022; however, Title I participants who did receive supportive services had better employment and earning outcomes and were more likely to finish the training.</w:t>
      </w:r>
    </w:p>
    <w:p w14:paraId="1FED2934" w14:textId="68528562" w:rsidR="00EE4A39" w:rsidRDefault="00EE4A39" w:rsidP="00C031A8">
      <w:pPr>
        <w:pStyle w:val="NoSpacing"/>
        <w:rPr>
          <w:rFonts w:ascii="Times New Roman" w:hAnsi="Times New Roman" w:cs="Times New Roman"/>
          <w:sz w:val="32"/>
          <w:szCs w:val="32"/>
        </w:rPr>
      </w:pPr>
    </w:p>
    <w:p w14:paraId="40D3E41B" w14:textId="4EA2101B" w:rsidR="00EE4A39" w:rsidRPr="00C031A8" w:rsidRDefault="00EE4A39" w:rsidP="00C031A8">
      <w:pPr>
        <w:pStyle w:val="NoSpacing"/>
        <w:rPr>
          <w:rFonts w:ascii="Times New Roman" w:hAnsi="Times New Roman" w:cs="Times New Roman"/>
          <w:sz w:val="32"/>
          <w:szCs w:val="32"/>
        </w:rPr>
      </w:pPr>
      <w:r>
        <w:rPr>
          <w:rFonts w:ascii="Times New Roman" w:hAnsi="Times New Roman" w:cs="Times New Roman"/>
          <w:sz w:val="32"/>
          <w:szCs w:val="32"/>
        </w:rPr>
        <w:t>We also found that LWC could better evaluate the effectiveness and compliance of each program and the factors contributing to participant success by performing more in-depth data analyses of participant services and outcomes.</w:t>
      </w:r>
    </w:p>
    <w:p w14:paraId="0BF400B8" w14:textId="77777777" w:rsidR="006F3E54" w:rsidRPr="00C031A8" w:rsidRDefault="006F3E54" w:rsidP="00C031A8">
      <w:pPr>
        <w:pStyle w:val="NoSpacing"/>
        <w:rPr>
          <w:rFonts w:ascii="Times New Roman" w:hAnsi="Times New Roman" w:cs="Times New Roman"/>
          <w:sz w:val="32"/>
          <w:szCs w:val="32"/>
        </w:rPr>
      </w:pPr>
    </w:p>
    <w:p w14:paraId="2ACC571B" w14:textId="77777777" w:rsidR="00B62B88" w:rsidRDefault="00AB1CDE" w:rsidP="005F7A37">
      <w:pPr>
        <w:pStyle w:val="NoSpacing"/>
        <w:rPr>
          <w:rFonts w:ascii="Times New Roman" w:hAnsi="Times New Roman" w:cs="Times New Roman"/>
          <w:sz w:val="32"/>
          <w:szCs w:val="32"/>
        </w:rPr>
      </w:pPr>
      <w:r w:rsidRPr="005F7A37">
        <w:rPr>
          <w:rFonts w:ascii="Times New Roman" w:hAnsi="Times New Roman" w:cs="Times New Roman"/>
          <w:sz w:val="32"/>
          <w:szCs w:val="32"/>
        </w:rPr>
        <w:t xml:space="preserve">As a result of our </w:t>
      </w:r>
      <w:r w:rsidR="00DD2282" w:rsidRPr="005F7A37">
        <w:rPr>
          <w:rFonts w:ascii="Times New Roman" w:hAnsi="Times New Roman" w:cs="Times New Roman"/>
          <w:sz w:val="32"/>
          <w:szCs w:val="32"/>
        </w:rPr>
        <w:t>report</w:t>
      </w:r>
      <w:r w:rsidRPr="005F7A37">
        <w:rPr>
          <w:rFonts w:ascii="Times New Roman" w:hAnsi="Times New Roman" w:cs="Times New Roman"/>
          <w:sz w:val="32"/>
          <w:szCs w:val="32"/>
        </w:rPr>
        <w:t xml:space="preserve">, we developed </w:t>
      </w:r>
      <w:r w:rsidR="00C031A8">
        <w:rPr>
          <w:rFonts w:ascii="Times New Roman" w:hAnsi="Times New Roman" w:cs="Times New Roman"/>
          <w:sz w:val="32"/>
          <w:szCs w:val="32"/>
        </w:rPr>
        <w:t>nine</w:t>
      </w:r>
      <w:r w:rsidR="005F7A37" w:rsidRPr="005F7A37">
        <w:rPr>
          <w:rFonts w:ascii="Times New Roman" w:hAnsi="Times New Roman" w:cs="Times New Roman"/>
          <w:sz w:val="32"/>
          <w:szCs w:val="32"/>
        </w:rPr>
        <w:t xml:space="preserve"> </w:t>
      </w:r>
      <w:r w:rsidR="00F71CAC" w:rsidRPr="005F7A37">
        <w:rPr>
          <w:rFonts w:ascii="Times New Roman" w:hAnsi="Times New Roman" w:cs="Times New Roman"/>
          <w:sz w:val="32"/>
          <w:szCs w:val="32"/>
        </w:rPr>
        <w:t>recommendations</w:t>
      </w:r>
      <w:r w:rsidRPr="005F7A37">
        <w:rPr>
          <w:rFonts w:ascii="Times New Roman" w:hAnsi="Times New Roman" w:cs="Times New Roman"/>
          <w:sz w:val="32"/>
          <w:szCs w:val="32"/>
        </w:rPr>
        <w:t>.</w:t>
      </w:r>
    </w:p>
    <w:p w14:paraId="7C366C7D" w14:textId="77777777" w:rsidR="00C031A8" w:rsidRDefault="00C031A8" w:rsidP="005F7A37">
      <w:pPr>
        <w:pStyle w:val="NoSpacing"/>
        <w:rPr>
          <w:rFonts w:ascii="Times New Roman" w:hAnsi="Times New Roman" w:cs="Times New Roman"/>
          <w:sz w:val="32"/>
          <w:szCs w:val="32"/>
        </w:rPr>
      </w:pPr>
    </w:p>
    <w:p w14:paraId="4EECF4C4" w14:textId="107E8F6D" w:rsidR="00C031A8" w:rsidRDefault="00C031A8" w:rsidP="005F7A37">
      <w:pPr>
        <w:pStyle w:val="NoSpacing"/>
        <w:rPr>
          <w:rFonts w:ascii="Times New Roman" w:hAnsi="Times New Roman" w:cs="Times New Roman"/>
          <w:sz w:val="32"/>
          <w:szCs w:val="32"/>
        </w:rPr>
      </w:pPr>
      <w:r>
        <w:rPr>
          <w:rFonts w:ascii="Times New Roman" w:hAnsi="Times New Roman" w:cs="Times New Roman"/>
          <w:sz w:val="32"/>
          <w:szCs w:val="32"/>
        </w:rPr>
        <w:t xml:space="preserve">We recommended LWC ensure the </w:t>
      </w:r>
      <w:r w:rsidR="00A04F1D">
        <w:rPr>
          <w:rFonts w:ascii="Times New Roman" w:hAnsi="Times New Roman" w:cs="Times New Roman"/>
          <w:sz w:val="32"/>
          <w:szCs w:val="32"/>
        </w:rPr>
        <w:t>l</w:t>
      </w:r>
      <w:r>
        <w:rPr>
          <w:rFonts w:ascii="Times New Roman" w:hAnsi="Times New Roman" w:cs="Times New Roman"/>
          <w:sz w:val="32"/>
          <w:szCs w:val="32"/>
        </w:rPr>
        <w:t xml:space="preserve">ocal </w:t>
      </w:r>
      <w:r w:rsidR="00A04F1D">
        <w:rPr>
          <w:rFonts w:ascii="Times New Roman" w:hAnsi="Times New Roman" w:cs="Times New Roman"/>
          <w:sz w:val="32"/>
          <w:szCs w:val="32"/>
        </w:rPr>
        <w:t>w</w:t>
      </w:r>
      <w:r>
        <w:rPr>
          <w:rFonts w:ascii="Times New Roman" w:hAnsi="Times New Roman" w:cs="Times New Roman"/>
          <w:sz w:val="32"/>
          <w:szCs w:val="32"/>
        </w:rPr>
        <w:t xml:space="preserve">orkforce </w:t>
      </w:r>
      <w:r w:rsidR="00A04F1D">
        <w:rPr>
          <w:rFonts w:ascii="Times New Roman" w:hAnsi="Times New Roman" w:cs="Times New Roman"/>
          <w:sz w:val="32"/>
          <w:szCs w:val="32"/>
        </w:rPr>
        <w:t>d</w:t>
      </w:r>
      <w:r>
        <w:rPr>
          <w:rFonts w:ascii="Times New Roman" w:hAnsi="Times New Roman" w:cs="Times New Roman"/>
          <w:sz w:val="32"/>
          <w:szCs w:val="32"/>
        </w:rPr>
        <w:t xml:space="preserve">evelopment </w:t>
      </w:r>
      <w:r w:rsidR="00A04F1D">
        <w:rPr>
          <w:rFonts w:ascii="Times New Roman" w:hAnsi="Times New Roman" w:cs="Times New Roman"/>
          <w:sz w:val="32"/>
          <w:szCs w:val="32"/>
        </w:rPr>
        <w:t>b</w:t>
      </w:r>
      <w:r>
        <w:rPr>
          <w:rFonts w:ascii="Times New Roman" w:hAnsi="Times New Roman" w:cs="Times New Roman"/>
          <w:sz w:val="32"/>
          <w:szCs w:val="32"/>
        </w:rPr>
        <w:t>oards have updated memorandums of understanding</w:t>
      </w:r>
      <w:r w:rsidR="00CD1ED2">
        <w:rPr>
          <w:rFonts w:ascii="Times New Roman" w:hAnsi="Times New Roman" w:cs="Times New Roman"/>
          <w:sz w:val="32"/>
          <w:szCs w:val="32"/>
        </w:rPr>
        <w:t xml:space="preserve"> </w:t>
      </w:r>
      <w:r w:rsidR="00EE4A39">
        <w:rPr>
          <w:rFonts w:ascii="Times New Roman" w:hAnsi="Times New Roman" w:cs="Times New Roman"/>
          <w:sz w:val="32"/>
          <w:szCs w:val="32"/>
        </w:rPr>
        <w:t xml:space="preserve">– </w:t>
      </w:r>
      <w:bookmarkStart w:id="0" w:name="_GoBack"/>
      <w:bookmarkEnd w:id="0"/>
      <w:r w:rsidR="006F3E54">
        <w:rPr>
          <w:rFonts w:ascii="Times New Roman" w:hAnsi="Times New Roman" w:cs="Times New Roman"/>
          <w:sz w:val="32"/>
          <w:szCs w:val="32"/>
        </w:rPr>
        <w:t>MOU</w:t>
      </w:r>
      <w:r w:rsidR="00EE4A39">
        <w:rPr>
          <w:rFonts w:ascii="Times New Roman" w:hAnsi="Times New Roman" w:cs="Times New Roman"/>
          <w:sz w:val="32"/>
          <w:szCs w:val="32"/>
        </w:rPr>
        <w:t xml:space="preserve">s – </w:t>
      </w:r>
      <w:r>
        <w:rPr>
          <w:rFonts w:ascii="Times New Roman" w:hAnsi="Times New Roman" w:cs="Times New Roman"/>
          <w:sz w:val="32"/>
          <w:szCs w:val="32"/>
        </w:rPr>
        <w:t>with all required partner programs</w:t>
      </w:r>
      <w:r w:rsidR="00A04F1D">
        <w:rPr>
          <w:rFonts w:ascii="Times New Roman" w:hAnsi="Times New Roman" w:cs="Times New Roman"/>
          <w:sz w:val="32"/>
          <w:szCs w:val="32"/>
        </w:rPr>
        <w:t>,</w:t>
      </w:r>
      <w:r>
        <w:rPr>
          <w:rFonts w:ascii="Times New Roman" w:hAnsi="Times New Roman" w:cs="Times New Roman"/>
          <w:sz w:val="32"/>
          <w:szCs w:val="32"/>
        </w:rPr>
        <w:t xml:space="preserve"> and work with the boards and other stakeholders to ensure the MOUs are consistent and contain all required information.</w:t>
      </w:r>
    </w:p>
    <w:p w14:paraId="7376D8B2" w14:textId="77777777" w:rsidR="00C031A8" w:rsidRDefault="00C031A8" w:rsidP="005F7A37">
      <w:pPr>
        <w:pStyle w:val="NoSpacing"/>
        <w:rPr>
          <w:rFonts w:ascii="Times New Roman" w:hAnsi="Times New Roman" w:cs="Times New Roman"/>
          <w:sz w:val="32"/>
          <w:szCs w:val="32"/>
        </w:rPr>
      </w:pPr>
    </w:p>
    <w:p w14:paraId="3164082C" w14:textId="77777777" w:rsidR="00C031A8" w:rsidRDefault="00C031A8" w:rsidP="005F7A37">
      <w:pPr>
        <w:pStyle w:val="NoSpacing"/>
        <w:rPr>
          <w:rFonts w:ascii="Times New Roman" w:hAnsi="Times New Roman" w:cs="Times New Roman"/>
          <w:sz w:val="32"/>
          <w:szCs w:val="32"/>
        </w:rPr>
      </w:pPr>
      <w:r>
        <w:rPr>
          <w:rFonts w:ascii="Times New Roman" w:hAnsi="Times New Roman" w:cs="Times New Roman"/>
          <w:sz w:val="32"/>
          <w:szCs w:val="32"/>
        </w:rPr>
        <w:t>In addition, we recommended LWC develop a policy for the equitable dispersal of Title III resources across local areas</w:t>
      </w:r>
      <w:r w:rsidR="00574EC4">
        <w:rPr>
          <w:rFonts w:ascii="Times New Roman" w:hAnsi="Times New Roman" w:cs="Times New Roman"/>
          <w:sz w:val="32"/>
          <w:szCs w:val="32"/>
        </w:rPr>
        <w:t>, including a periodic re-evaluation of local needs.</w:t>
      </w:r>
    </w:p>
    <w:p w14:paraId="659A3BDA" w14:textId="77777777" w:rsidR="00574EC4" w:rsidRDefault="00574EC4" w:rsidP="005F7A37">
      <w:pPr>
        <w:pStyle w:val="NoSpacing"/>
        <w:rPr>
          <w:rFonts w:ascii="Times New Roman" w:hAnsi="Times New Roman" w:cs="Times New Roman"/>
          <w:sz w:val="32"/>
          <w:szCs w:val="32"/>
        </w:rPr>
      </w:pPr>
    </w:p>
    <w:p w14:paraId="68F6F90D" w14:textId="77777777" w:rsidR="00574EC4" w:rsidRDefault="00574EC4" w:rsidP="005F7A37">
      <w:pPr>
        <w:pStyle w:val="NoSpacing"/>
        <w:rPr>
          <w:rFonts w:ascii="Times New Roman" w:hAnsi="Times New Roman" w:cs="Times New Roman"/>
          <w:sz w:val="32"/>
          <w:szCs w:val="32"/>
        </w:rPr>
      </w:pPr>
      <w:r>
        <w:rPr>
          <w:rFonts w:ascii="Times New Roman" w:hAnsi="Times New Roman" w:cs="Times New Roman"/>
          <w:sz w:val="32"/>
          <w:szCs w:val="32"/>
        </w:rPr>
        <w:t>We also recommended LWC work with stakeholders to identify ways to serve more potentially eligible individuals and ensure its website has the correct information about One-Stop Centers.</w:t>
      </w:r>
    </w:p>
    <w:p w14:paraId="65BD6646" w14:textId="77777777" w:rsidR="008B54C9" w:rsidRDefault="008B54C9" w:rsidP="00C031A8">
      <w:pPr>
        <w:pStyle w:val="NoSpacing"/>
        <w:rPr>
          <w:rFonts w:ascii="Times New Roman" w:hAnsi="Times New Roman" w:cs="Times New Roman"/>
          <w:sz w:val="32"/>
          <w:szCs w:val="32"/>
        </w:rPr>
      </w:pPr>
    </w:p>
    <w:p w14:paraId="2E09839E" w14:textId="77777777" w:rsidR="00574EC4" w:rsidRDefault="00574EC4" w:rsidP="00C031A8">
      <w:pPr>
        <w:pStyle w:val="NoSpacing"/>
        <w:rPr>
          <w:rFonts w:ascii="Times New Roman" w:hAnsi="Times New Roman" w:cs="Times New Roman"/>
          <w:sz w:val="32"/>
          <w:szCs w:val="32"/>
        </w:rPr>
      </w:pPr>
      <w:r>
        <w:rPr>
          <w:rFonts w:ascii="Times New Roman" w:hAnsi="Times New Roman" w:cs="Times New Roman"/>
          <w:sz w:val="32"/>
          <w:szCs w:val="32"/>
        </w:rPr>
        <w:t>We recommended</w:t>
      </w:r>
      <w:r w:rsidR="00290E71">
        <w:rPr>
          <w:rFonts w:ascii="Times New Roman" w:hAnsi="Times New Roman" w:cs="Times New Roman"/>
          <w:sz w:val="32"/>
          <w:szCs w:val="32"/>
        </w:rPr>
        <w:t xml:space="preserve"> as well</w:t>
      </w:r>
      <w:r>
        <w:rPr>
          <w:rFonts w:ascii="Times New Roman" w:hAnsi="Times New Roman" w:cs="Times New Roman"/>
          <w:sz w:val="32"/>
          <w:szCs w:val="32"/>
        </w:rPr>
        <w:t xml:space="preserve"> that LWC ensure the</w:t>
      </w:r>
      <w:r w:rsidR="00A04F1D">
        <w:rPr>
          <w:rFonts w:ascii="Times New Roman" w:hAnsi="Times New Roman" w:cs="Times New Roman"/>
          <w:sz w:val="32"/>
          <w:szCs w:val="32"/>
        </w:rPr>
        <w:t xml:space="preserve"> local</w:t>
      </w:r>
      <w:r>
        <w:rPr>
          <w:rFonts w:ascii="Times New Roman" w:hAnsi="Times New Roman" w:cs="Times New Roman"/>
          <w:sz w:val="32"/>
          <w:szCs w:val="32"/>
        </w:rPr>
        <w:t xml:space="preserve"> </w:t>
      </w:r>
      <w:r w:rsidR="00A04F1D">
        <w:rPr>
          <w:rFonts w:ascii="Times New Roman" w:hAnsi="Times New Roman" w:cs="Times New Roman"/>
          <w:sz w:val="32"/>
          <w:szCs w:val="32"/>
        </w:rPr>
        <w:t>w</w:t>
      </w:r>
      <w:r>
        <w:rPr>
          <w:rFonts w:ascii="Times New Roman" w:hAnsi="Times New Roman" w:cs="Times New Roman"/>
          <w:sz w:val="32"/>
          <w:szCs w:val="32"/>
        </w:rPr>
        <w:t xml:space="preserve">orkforce </w:t>
      </w:r>
      <w:r w:rsidR="00A04F1D">
        <w:rPr>
          <w:rFonts w:ascii="Times New Roman" w:hAnsi="Times New Roman" w:cs="Times New Roman"/>
          <w:sz w:val="32"/>
          <w:szCs w:val="32"/>
        </w:rPr>
        <w:t>d</w:t>
      </w:r>
      <w:r>
        <w:rPr>
          <w:rFonts w:ascii="Times New Roman" w:hAnsi="Times New Roman" w:cs="Times New Roman"/>
          <w:sz w:val="32"/>
          <w:szCs w:val="32"/>
        </w:rPr>
        <w:t xml:space="preserve">evelopment </w:t>
      </w:r>
      <w:r w:rsidR="00A04F1D">
        <w:rPr>
          <w:rFonts w:ascii="Times New Roman" w:hAnsi="Times New Roman" w:cs="Times New Roman"/>
          <w:sz w:val="32"/>
          <w:szCs w:val="32"/>
        </w:rPr>
        <w:t>b</w:t>
      </w:r>
      <w:r>
        <w:rPr>
          <w:rFonts w:ascii="Times New Roman" w:hAnsi="Times New Roman" w:cs="Times New Roman"/>
          <w:sz w:val="32"/>
          <w:szCs w:val="32"/>
        </w:rPr>
        <w:t>oards have the required American Job Center branding on their websites and work with the boards to determine whether adopting a statewide naming convention and/or brand could help improve outreach efforts.</w:t>
      </w:r>
    </w:p>
    <w:p w14:paraId="3E0B055D" w14:textId="77777777" w:rsidR="00574EC4" w:rsidRDefault="00574EC4" w:rsidP="00C031A8">
      <w:pPr>
        <w:pStyle w:val="NoSpacing"/>
        <w:rPr>
          <w:rFonts w:ascii="Times New Roman" w:hAnsi="Times New Roman" w:cs="Times New Roman"/>
          <w:sz w:val="32"/>
          <w:szCs w:val="32"/>
        </w:rPr>
      </w:pPr>
    </w:p>
    <w:p w14:paraId="47D986C5" w14:textId="77777777" w:rsidR="00C031A8" w:rsidRPr="00C031A8" w:rsidRDefault="00574EC4" w:rsidP="00C031A8">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LWC work with the boards to identify ways to increase the number of participants who receive training and supportive services and analyze outcome information in more detail to </w:t>
      </w:r>
      <w:r>
        <w:rPr>
          <w:rFonts w:ascii="Times New Roman" w:hAnsi="Times New Roman" w:cs="Times New Roman"/>
          <w:sz w:val="32"/>
          <w:szCs w:val="32"/>
        </w:rPr>
        <w:lastRenderedPageBreak/>
        <w:t xml:space="preserve">ensure the programs </w:t>
      </w:r>
      <w:r w:rsidR="00A04F1D">
        <w:rPr>
          <w:rFonts w:ascii="Times New Roman" w:hAnsi="Times New Roman" w:cs="Times New Roman"/>
          <w:sz w:val="32"/>
          <w:szCs w:val="32"/>
        </w:rPr>
        <w:t>result</w:t>
      </w:r>
      <w:r>
        <w:rPr>
          <w:rFonts w:ascii="Times New Roman" w:hAnsi="Times New Roman" w:cs="Times New Roman"/>
          <w:sz w:val="32"/>
          <w:szCs w:val="32"/>
        </w:rPr>
        <w:t xml:space="preserve"> in positive outcomes and the service design is data-informed.</w:t>
      </w:r>
    </w:p>
    <w:p w14:paraId="7F140011" w14:textId="77777777" w:rsidR="00C031A8" w:rsidRPr="00C031A8" w:rsidRDefault="00C031A8" w:rsidP="00C031A8">
      <w:pPr>
        <w:pStyle w:val="NoSpacing"/>
        <w:rPr>
          <w:rFonts w:ascii="Times New Roman" w:hAnsi="Times New Roman" w:cs="Times New Roman"/>
          <w:sz w:val="32"/>
          <w:szCs w:val="32"/>
        </w:rPr>
      </w:pPr>
    </w:p>
    <w:p w14:paraId="3D537779" w14:textId="77777777" w:rsidR="00C10DA7" w:rsidRDefault="00C10DA7" w:rsidP="002A4115">
      <w:pPr>
        <w:pStyle w:val="NoSpacing"/>
        <w:rPr>
          <w:rFonts w:ascii="Times New Roman" w:hAnsi="Times New Roman" w:cs="Times New Roman"/>
          <w:sz w:val="32"/>
          <w:szCs w:val="32"/>
        </w:rPr>
      </w:pPr>
      <w:r w:rsidRPr="008C08FF">
        <w:rPr>
          <w:rFonts w:ascii="Times New Roman" w:hAnsi="Times New Roman" w:cs="Times New Roman"/>
          <w:color w:val="000000" w:themeColor="text1"/>
          <w:sz w:val="32"/>
          <w:szCs w:val="32"/>
        </w:rPr>
        <w:t xml:space="preserve">As part of its response, which is included in the report as Appendix A, </w:t>
      </w:r>
      <w:r w:rsidR="004343BD">
        <w:rPr>
          <w:rFonts w:ascii="Times New Roman" w:hAnsi="Times New Roman" w:cs="Times New Roman"/>
          <w:color w:val="000000" w:themeColor="text1"/>
          <w:sz w:val="32"/>
          <w:szCs w:val="32"/>
        </w:rPr>
        <w:t>LWC</w:t>
      </w:r>
      <w:r w:rsidR="00CB2B95">
        <w:rPr>
          <w:rFonts w:ascii="Times New Roman" w:hAnsi="Times New Roman" w:cs="Times New Roman"/>
          <w:color w:val="000000" w:themeColor="text1"/>
          <w:sz w:val="32"/>
          <w:szCs w:val="32"/>
        </w:rPr>
        <w:t xml:space="preserve"> agreed</w:t>
      </w:r>
      <w:r w:rsidR="00C031A8">
        <w:rPr>
          <w:rFonts w:ascii="Times New Roman" w:hAnsi="Times New Roman" w:cs="Times New Roman"/>
          <w:color w:val="000000" w:themeColor="text1"/>
          <w:sz w:val="32"/>
          <w:szCs w:val="32"/>
        </w:rPr>
        <w:t xml:space="preserve"> with six of </w:t>
      </w:r>
      <w:r w:rsidR="00A04F1D">
        <w:rPr>
          <w:rFonts w:ascii="Times New Roman" w:hAnsi="Times New Roman" w:cs="Times New Roman"/>
          <w:color w:val="000000" w:themeColor="text1"/>
          <w:sz w:val="32"/>
          <w:szCs w:val="32"/>
        </w:rPr>
        <w:t>our</w:t>
      </w:r>
      <w:r w:rsidR="00C031A8">
        <w:rPr>
          <w:rFonts w:ascii="Times New Roman" w:hAnsi="Times New Roman" w:cs="Times New Roman"/>
          <w:color w:val="000000" w:themeColor="text1"/>
          <w:sz w:val="32"/>
          <w:szCs w:val="32"/>
        </w:rPr>
        <w:t xml:space="preserve"> recommendations and partially agreed with three.</w:t>
      </w:r>
      <w:r w:rsidR="00E524D4" w:rsidRPr="002A4115">
        <w:rPr>
          <w:rFonts w:ascii="Times New Roman" w:hAnsi="Times New Roman" w:cs="Times New Roman"/>
          <w:sz w:val="32"/>
          <w:szCs w:val="32"/>
        </w:rPr>
        <w:t xml:space="preserve"> </w:t>
      </w:r>
    </w:p>
    <w:p w14:paraId="461B3AFE" w14:textId="77777777" w:rsidR="00BD030E" w:rsidRPr="002A4115" w:rsidRDefault="00BD030E" w:rsidP="002A4115">
      <w:pPr>
        <w:pStyle w:val="NoSpacing"/>
        <w:rPr>
          <w:rFonts w:ascii="Times New Roman" w:hAnsi="Times New Roman" w:cs="Times New Roman"/>
          <w:sz w:val="32"/>
          <w:szCs w:val="32"/>
        </w:rPr>
      </w:pPr>
    </w:p>
    <w:p w14:paraId="1DB2FA8B" w14:textId="77777777"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14:paraId="764258EB" w14:textId="77777777" w:rsidR="001D4AA7" w:rsidRPr="00E332CC" w:rsidRDefault="001D4AA7" w:rsidP="001D4AA7">
      <w:pPr>
        <w:pStyle w:val="NoSpacing"/>
        <w:rPr>
          <w:rFonts w:ascii="Times New Roman" w:eastAsia="Times New Roman" w:hAnsi="Times New Roman" w:cs="Times New Roman"/>
          <w:i/>
          <w:color w:val="000000"/>
          <w:sz w:val="32"/>
          <w:szCs w:val="32"/>
        </w:rPr>
      </w:pPr>
    </w:p>
    <w:p w14:paraId="6A5A38F0" w14:textId="77777777" w:rsidR="00AD7A62"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8"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14:paraId="22473BE9" w14:textId="77777777" w:rsidR="00AD7A62" w:rsidRDefault="00AD7A62" w:rsidP="001D4AA7">
      <w:pPr>
        <w:pStyle w:val="NoSpacing"/>
        <w:rPr>
          <w:rFonts w:ascii="Times New Roman" w:eastAsia="Times New Roman" w:hAnsi="Times New Roman" w:cs="Times New Roman"/>
          <w:i/>
          <w:color w:val="000000"/>
          <w:sz w:val="32"/>
          <w:szCs w:val="32"/>
        </w:rPr>
      </w:pPr>
    </w:p>
    <w:p w14:paraId="21D222A0" w14:textId="77777777" w:rsidR="001D4AA7" w:rsidRPr="00E43133"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Thank you for listening.</w:t>
      </w:r>
    </w:p>
    <w:sectPr w:rsidR="001D4AA7" w:rsidRPr="00E43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35937" w14:textId="77777777" w:rsidR="00E27838" w:rsidRDefault="00E27838" w:rsidP="00806EE3">
      <w:r>
        <w:separator/>
      </w:r>
    </w:p>
  </w:endnote>
  <w:endnote w:type="continuationSeparator" w:id="0">
    <w:p w14:paraId="72C7068F" w14:textId="77777777" w:rsidR="00E27838" w:rsidRDefault="00E27838"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9056C" w14:textId="77777777" w:rsidR="00E27838" w:rsidRDefault="00E27838" w:rsidP="00806EE3">
      <w:r>
        <w:separator/>
      </w:r>
    </w:p>
  </w:footnote>
  <w:footnote w:type="continuationSeparator" w:id="0">
    <w:p w14:paraId="4385DA81" w14:textId="77777777" w:rsidR="00E27838" w:rsidRDefault="00E27838"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3502CA"/>
    <w:multiLevelType w:val="hybridMultilevel"/>
    <w:tmpl w:val="A502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B7F10"/>
    <w:multiLevelType w:val="hybridMultilevel"/>
    <w:tmpl w:val="D4263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557F8"/>
    <w:rsid w:val="0005689B"/>
    <w:rsid w:val="000767E5"/>
    <w:rsid w:val="00084CA3"/>
    <w:rsid w:val="0009586F"/>
    <w:rsid w:val="000971DC"/>
    <w:rsid w:val="000A05D8"/>
    <w:rsid w:val="000A5A73"/>
    <w:rsid w:val="000C6C2A"/>
    <w:rsid w:val="000C73AD"/>
    <w:rsid w:val="000D4738"/>
    <w:rsid w:val="000E7E3D"/>
    <w:rsid w:val="000F4913"/>
    <w:rsid w:val="001203D6"/>
    <w:rsid w:val="0013500F"/>
    <w:rsid w:val="00151946"/>
    <w:rsid w:val="00184DAF"/>
    <w:rsid w:val="00192D0C"/>
    <w:rsid w:val="001B66C5"/>
    <w:rsid w:val="001C75AF"/>
    <w:rsid w:val="001D182B"/>
    <w:rsid w:val="001D4AA7"/>
    <w:rsid w:val="001E2C39"/>
    <w:rsid w:val="001E5B45"/>
    <w:rsid w:val="001E62F9"/>
    <w:rsid w:val="001E6AFF"/>
    <w:rsid w:val="001E6E98"/>
    <w:rsid w:val="00206E84"/>
    <w:rsid w:val="00214576"/>
    <w:rsid w:val="002239CA"/>
    <w:rsid w:val="00224313"/>
    <w:rsid w:val="00254029"/>
    <w:rsid w:val="00276113"/>
    <w:rsid w:val="002859FB"/>
    <w:rsid w:val="00290E71"/>
    <w:rsid w:val="002A4115"/>
    <w:rsid w:val="002C7EF3"/>
    <w:rsid w:val="002D3303"/>
    <w:rsid w:val="002E70FD"/>
    <w:rsid w:val="0031067C"/>
    <w:rsid w:val="00314223"/>
    <w:rsid w:val="0031438C"/>
    <w:rsid w:val="00314A58"/>
    <w:rsid w:val="00327B71"/>
    <w:rsid w:val="00327D1E"/>
    <w:rsid w:val="003356A0"/>
    <w:rsid w:val="00364903"/>
    <w:rsid w:val="00365CE4"/>
    <w:rsid w:val="00367130"/>
    <w:rsid w:val="003675AA"/>
    <w:rsid w:val="00377656"/>
    <w:rsid w:val="003968B8"/>
    <w:rsid w:val="003C0DDA"/>
    <w:rsid w:val="003C2B14"/>
    <w:rsid w:val="003D5350"/>
    <w:rsid w:val="003E76D9"/>
    <w:rsid w:val="003F24E0"/>
    <w:rsid w:val="003F6E8F"/>
    <w:rsid w:val="004124BF"/>
    <w:rsid w:val="004234E7"/>
    <w:rsid w:val="00426B74"/>
    <w:rsid w:val="00432217"/>
    <w:rsid w:val="004343BD"/>
    <w:rsid w:val="004364FE"/>
    <w:rsid w:val="004376B9"/>
    <w:rsid w:val="0044066A"/>
    <w:rsid w:val="00444E16"/>
    <w:rsid w:val="0045320F"/>
    <w:rsid w:val="00454DDF"/>
    <w:rsid w:val="0046266F"/>
    <w:rsid w:val="00462FDE"/>
    <w:rsid w:val="00465FCD"/>
    <w:rsid w:val="00484446"/>
    <w:rsid w:val="00484CB6"/>
    <w:rsid w:val="004938B5"/>
    <w:rsid w:val="004A0DA9"/>
    <w:rsid w:val="004C6450"/>
    <w:rsid w:val="004D33C2"/>
    <w:rsid w:val="004D3F5D"/>
    <w:rsid w:val="004E3DAA"/>
    <w:rsid w:val="004E45B7"/>
    <w:rsid w:val="004F11F0"/>
    <w:rsid w:val="004F5DEE"/>
    <w:rsid w:val="004F623D"/>
    <w:rsid w:val="004F6544"/>
    <w:rsid w:val="005014FA"/>
    <w:rsid w:val="005040FC"/>
    <w:rsid w:val="0051486A"/>
    <w:rsid w:val="00523014"/>
    <w:rsid w:val="00574EC4"/>
    <w:rsid w:val="005B6C1C"/>
    <w:rsid w:val="005B7AC4"/>
    <w:rsid w:val="005D51B7"/>
    <w:rsid w:val="005F7A37"/>
    <w:rsid w:val="0060257E"/>
    <w:rsid w:val="00632A1C"/>
    <w:rsid w:val="006515E4"/>
    <w:rsid w:val="006632C2"/>
    <w:rsid w:val="006744BB"/>
    <w:rsid w:val="00687886"/>
    <w:rsid w:val="006901F6"/>
    <w:rsid w:val="00695E57"/>
    <w:rsid w:val="006A4995"/>
    <w:rsid w:val="006C09CF"/>
    <w:rsid w:val="006C25A4"/>
    <w:rsid w:val="006D4BAB"/>
    <w:rsid w:val="006D5AAA"/>
    <w:rsid w:val="006E72D4"/>
    <w:rsid w:val="006F1D76"/>
    <w:rsid w:val="006F3E54"/>
    <w:rsid w:val="006F4E7D"/>
    <w:rsid w:val="00717CE8"/>
    <w:rsid w:val="00722051"/>
    <w:rsid w:val="00725B30"/>
    <w:rsid w:val="00727288"/>
    <w:rsid w:val="00756998"/>
    <w:rsid w:val="00756FD0"/>
    <w:rsid w:val="00760863"/>
    <w:rsid w:val="00766A16"/>
    <w:rsid w:val="0077174D"/>
    <w:rsid w:val="007950D8"/>
    <w:rsid w:val="00795878"/>
    <w:rsid w:val="007A54F5"/>
    <w:rsid w:val="007B0804"/>
    <w:rsid w:val="007C0D80"/>
    <w:rsid w:val="007C4B9B"/>
    <w:rsid w:val="007C5558"/>
    <w:rsid w:val="007C6244"/>
    <w:rsid w:val="007E13C3"/>
    <w:rsid w:val="007E41F0"/>
    <w:rsid w:val="007F12A1"/>
    <w:rsid w:val="007F6466"/>
    <w:rsid w:val="008002E9"/>
    <w:rsid w:val="00804349"/>
    <w:rsid w:val="00806EE3"/>
    <w:rsid w:val="00825F61"/>
    <w:rsid w:val="00827F6D"/>
    <w:rsid w:val="00827FEB"/>
    <w:rsid w:val="008322D8"/>
    <w:rsid w:val="0083500E"/>
    <w:rsid w:val="00846CC1"/>
    <w:rsid w:val="00853843"/>
    <w:rsid w:val="00864574"/>
    <w:rsid w:val="008679ED"/>
    <w:rsid w:val="0087427B"/>
    <w:rsid w:val="0088497B"/>
    <w:rsid w:val="008B3B17"/>
    <w:rsid w:val="008B54C9"/>
    <w:rsid w:val="008D6F0D"/>
    <w:rsid w:val="008E0B65"/>
    <w:rsid w:val="008E2EEA"/>
    <w:rsid w:val="008E52DF"/>
    <w:rsid w:val="008F0805"/>
    <w:rsid w:val="00900B10"/>
    <w:rsid w:val="009128B5"/>
    <w:rsid w:val="009143CD"/>
    <w:rsid w:val="00923BF7"/>
    <w:rsid w:val="00935605"/>
    <w:rsid w:val="0094011E"/>
    <w:rsid w:val="009552F9"/>
    <w:rsid w:val="00956AFD"/>
    <w:rsid w:val="009577EE"/>
    <w:rsid w:val="00960723"/>
    <w:rsid w:val="00963D3F"/>
    <w:rsid w:val="00970196"/>
    <w:rsid w:val="00980519"/>
    <w:rsid w:val="009A0920"/>
    <w:rsid w:val="009A748C"/>
    <w:rsid w:val="009B2EFE"/>
    <w:rsid w:val="009B3E82"/>
    <w:rsid w:val="009E38B2"/>
    <w:rsid w:val="00A04F1D"/>
    <w:rsid w:val="00A209F4"/>
    <w:rsid w:val="00A24DF4"/>
    <w:rsid w:val="00A529F4"/>
    <w:rsid w:val="00A5682B"/>
    <w:rsid w:val="00A63633"/>
    <w:rsid w:val="00AB1CDE"/>
    <w:rsid w:val="00AD1AE7"/>
    <w:rsid w:val="00AD60DD"/>
    <w:rsid w:val="00AD7A62"/>
    <w:rsid w:val="00AE5D1F"/>
    <w:rsid w:val="00AF4543"/>
    <w:rsid w:val="00B01D01"/>
    <w:rsid w:val="00B04ECA"/>
    <w:rsid w:val="00B32B4C"/>
    <w:rsid w:val="00B36FFF"/>
    <w:rsid w:val="00B37D05"/>
    <w:rsid w:val="00B6105C"/>
    <w:rsid w:val="00B62B88"/>
    <w:rsid w:val="00B66F54"/>
    <w:rsid w:val="00B75920"/>
    <w:rsid w:val="00B76129"/>
    <w:rsid w:val="00B818FC"/>
    <w:rsid w:val="00B8697D"/>
    <w:rsid w:val="00B942A5"/>
    <w:rsid w:val="00BB483D"/>
    <w:rsid w:val="00BB66D5"/>
    <w:rsid w:val="00BC6C29"/>
    <w:rsid w:val="00BD030E"/>
    <w:rsid w:val="00BD5AB7"/>
    <w:rsid w:val="00BD7299"/>
    <w:rsid w:val="00BE4E73"/>
    <w:rsid w:val="00BE7766"/>
    <w:rsid w:val="00BE7D24"/>
    <w:rsid w:val="00BF556E"/>
    <w:rsid w:val="00C0145D"/>
    <w:rsid w:val="00C031A8"/>
    <w:rsid w:val="00C04ED6"/>
    <w:rsid w:val="00C10DA7"/>
    <w:rsid w:val="00C21D89"/>
    <w:rsid w:val="00C3284C"/>
    <w:rsid w:val="00C36EB4"/>
    <w:rsid w:val="00C57CF7"/>
    <w:rsid w:val="00C615F3"/>
    <w:rsid w:val="00C66B36"/>
    <w:rsid w:val="00C6761A"/>
    <w:rsid w:val="00C71B2A"/>
    <w:rsid w:val="00C72B25"/>
    <w:rsid w:val="00C72D91"/>
    <w:rsid w:val="00C844C6"/>
    <w:rsid w:val="00C86164"/>
    <w:rsid w:val="00C9253B"/>
    <w:rsid w:val="00CA2CA9"/>
    <w:rsid w:val="00CA39F2"/>
    <w:rsid w:val="00CB1DBA"/>
    <w:rsid w:val="00CB2B95"/>
    <w:rsid w:val="00CB616F"/>
    <w:rsid w:val="00CC2430"/>
    <w:rsid w:val="00CC6E6D"/>
    <w:rsid w:val="00CD1ED2"/>
    <w:rsid w:val="00CD689A"/>
    <w:rsid w:val="00CE69B5"/>
    <w:rsid w:val="00D16DE3"/>
    <w:rsid w:val="00D27E58"/>
    <w:rsid w:val="00D56374"/>
    <w:rsid w:val="00D6513B"/>
    <w:rsid w:val="00D71F7F"/>
    <w:rsid w:val="00D74B62"/>
    <w:rsid w:val="00D77046"/>
    <w:rsid w:val="00D8671F"/>
    <w:rsid w:val="00D93922"/>
    <w:rsid w:val="00DD2282"/>
    <w:rsid w:val="00DD6D31"/>
    <w:rsid w:val="00DE014C"/>
    <w:rsid w:val="00DE0B73"/>
    <w:rsid w:val="00DE7F1C"/>
    <w:rsid w:val="00DF3C37"/>
    <w:rsid w:val="00E02D0D"/>
    <w:rsid w:val="00E04D3E"/>
    <w:rsid w:val="00E2076D"/>
    <w:rsid w:val="00E22A8E"/>
    <w:rsid w:val="00E27838"/>
    <w:rsid w:val="00E332CC"/>
    <w:rsid w:val="00E34B1B"/>
    <w:rsid w:val="00E43133"/>
    <w:rsid w:val="00E524D4"/>
    <w:rsid w:val="00E76B77"/>
    <w:rsid w:val="00E87D02"/>
    <w:rsid w:val="00E97414"/>
    <w:rsid w:val="00EB3302"/>
    <w:rsid w:val="00EC7C26"/>
    <w:rsid w:val="00EE270E"/>
    <w:rsid w:val="00EE4A39"/>
    <w:rsid w:val="00EF6412"/>
    <w:rsid w:val="00EF7A72"/>
    <w:rsid w:val="00F30BB9"/>
    <w:rsid w:val="00F34FC8"/>
    <w:rsid w:val="00F35ACB"/>
    <w:rsid w:val="00F44796"/>
    <w:rsid w:val="00F53236"/>
    <w:rsid w:val="00F71CAC"/>
    <w:rsid w:val="00F73BDE"/>
    <w:rsid w:val="00F823F9"/>
    <w:rsid w:val="00F847E1"/>
    <w:rsid w:val="00F91746"/>
    <w:rsid w:val="00FA32CF"/>
    <w:rsid w:val="00FA70FF"/>
    <w:rsid w:val="00FB1416"/>
    <w:rsid w:val="00FB6BB9"/>
    <w:rsid w:val="00FD284D"/>
    <w:rsid w:val="00FD74D9"/>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B515"/>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paragraph" w:customStyle="1" w:styleId="BodyText12pt">
    <w:name w:val="Body Text 12 pt"/>
    <w:link w:val="BodyText12ptChar"/>
    <w:rsid w:val="00314A58"/>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314A58"/>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8322D8"/>
    <w:pPr>
      <w:jc w:val="both"/>
    </w:pPr>
    <w:rPr>
      <w:szCs w:val="20"/>
    </w:rPr>
  </w:style>
  <w:style w:type="character" w:customStyle="1" w:styleId="BodyTextChar">
    <w:name w:val="Body Text Char"/>
    <w:basedOn w:val="DefaultParagraphFont"/>
    <w:link w:val="BodyText"/>
    <w:semiHidden/>
    <w:rsid w:val="008322D8"/>
    <w:rPr>
      <w:rFonts w:ascii="Times New Roman" w:eastAsia="Times New Roman" w:hAnsi="Times New Roman" w:cs="Times New Roman"/>
      <w:sz w:val="24"/>
      <w:szCs w:val="20"/>
    </w:rPr>
  </w:style>
  <w:style w:type="paragraph" w:customStyle="1" w:styleId="BodyCopy-FirstLineIndent">
    <w:name w:val="Body Copy - First Line Indent"/>
    <w:basedOn w:val="Normal"/>
    <w:qFormat/>
    <w:rsid w:val="00D56374"/>
    <w:pPr>
      <w:ind w:firstLine="720"/>
    </w:pPr>
    <w:rPr>
      <w:rFonts w:ascii="Verdana" w:eastAsiaTheme="minorHAnsi" w:hAnsi="Verdana"/>
      <w:sz w:val="22"/>
    </w:rPr>
  </w:style>
  <w:style w:type="paragraph" w:customStyle="1" w:styleId="BodyCopy-Indented">
    <w:name w:val="Body Copy - Indented"/>
    <w:basedOn w:val="Normal"/>
    <w:qFormat/>
    <w:rsid w:val="00727288"/>
    <w:pPr>
      <w:ind w:left="720"/>
    </w:pPr>
    <w:rPr>
      <w:rFonts w:ascii="Verdana" w:eastAsiaTheme="minorHAnsi" w:hAnsi="Verdana" w:cstheme="minorBidi"/>
      <w:color w:val="231F20"/>
      <w:sz w:val="22"/>
      <w:szCs w:val="22"/>
    </w:rPr>
  </w:style>
  <w:style w:type="character" w:styleId="CommentReference">
    <w:name w:val="annotation reference"/>
    <w:basedOn w:val="DefaultParagraphFont"/>
    <w:uiPriority w:val="99"/>
    <w:semiHidden/>
    <w:unhideWhenUsed/>
    <w:rsid w:val="006F3E54"/>
    <w:rPr>
      <w:sz w:val="16"/>
      <w:szCs w:val="16"/>
    </w:rPr>
  </w:style>
  <w:style w:type="paragraph" w:styleId="CommentText">
    <w:name w:val="annotation text"/>
    <w:basedOn w:val="Normal"/>
    <w:link w:val="CommentTextChar"/>
    <w:uiPriority w:val="99"/>
    <w:semiHidden/>
    <w:unhideWhenUsed/>
    <w:rsid w:val="006F3E54"/>
    <w:rPr>
      <w:sz w:val="20"/>
      <w:szCs w:val="20"/>
    </w:rPr>
  </w:style>
  <w:style w:type="character" w:customStyle="1" w:styleId="CommentTextChar">
    <w:name w:val="Comment Text Char"/>
    <w:basedOn w:val="DefaultParagraphFont"/>
    <w:link w:val="CommentText"/>
    <w:uiPriority w:val="99"/>
    <w:semiHidden/>
    <w:rsid w:val="006F3E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3E54"/>
    <w:rPr>
      <w:b/>
      <w:bCs/>
    </w:rPr>
  </w:style>
  <w:style w:type="character" w:customStyle="1" w:styleId="CommentSubjectChar">
    <w:name w:val="Comment Subject Char"/>
    <w:basedOn w:val="CommentTextChar"/>
    <w:link w:val="CommentSubject"/>
    <w:uiPriority w:val="99"/>
    <w:semiHidden/>
    <w:rsid w:val="006F3E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27">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66443127">
      <w:bodyDiv w:val="1"/>
      <w:marLeft w:val="0"/>
      <w:marRight w:val="0"/>
      <w:marTop w:val="0"/>
      <w:marBottom w:val="0"/>
      <w:divBdr>
        <w:top w:val="none" w:sz="0" w:space="0" w:color="auto"/>
        <w:left w:val="none" w:sz="0" w:space="0" w:color="auto"/>
        <w:bottom w:val="none" w:sz="0" w:space="0" w:color="auto"/>
        <w:right w:val="none" w:sz="0" w:space="0" w:color="auto"/>
      </w:divBdr>
    </w:div>
    <w:div w:id="1525243858">
      <w:bodyDiv w:val="1"/>
      <w:marLeft w:val="0"/>
      <w:marRight w:val="0"/>
      <w:marTop w:val="0"/>
      <w:marBottom w:val="0"/>
      <w:divBdr>
        <w:top w:val="none" w:sz="0" w:space="0" w:color="auto"/>
        <w:left w:val="none" w:sz="0" w:space="0" w:color="auto"/>
        <w:bottom w:val="none" w:sz="0" w:space="0" w:color="auto"/>
        <w:right w:val="none" w:sz="0" w:space="0" w:color="auto"/>
      </w:divBdr>
    </w:div>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778673810">
      <w:bodyDiv w:val="1"/>
      <w:marLeft w:val="0"/>
      <w:marRight w:val="0"/>
      <w:marTop w:val="0"/>
      <w:marBottom w:val="0"/>
      <w:divBdr>
        <w:top w:val="none" w:sz="0" w:space="0" w:color="auto"/>
        <w:left w:val="none" w:sz="0" w:space="0" w:color="auto"/>
        <w:bottom w:val="none" w:sz="0" w:space="0" w:color="auto"/>
        <w:right w:val="none" w:sz="0" w:space="0" w:color="auto"/>
      </w:divBdr>
    </w:div>
    <w:div w:id="199382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7FC32-C5F1-4D2E-A23D-A7F04CBE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Rowley</dc:creator>
  <cp:lastModifiedBy>Karen Rowley</cp:lastModifiedBy>
  <cp:revision>6</cp:revision>
  <cp:lastPrinted>2023-09-12T14:49:00Z</cp:lastPrinted>
  <dcterms:created xsi:type="dcterms:W3CDTF">2023-09-12T15:54:00Z</dcterms:created>
  <dcterms:modified xsi:type="dcterms:W3CDTF">2023-09-12T16:37:00Z</dcterms:modified>
</cp:coreProperties>
</file>