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Pr="00FC48E9" w:rsidRDefault="008002E9" w:rsidP="00FC48E9">
      <w:pPr>
        <w:pStyle w:val="NoSpacing"/>
        <w:rPr>
          <w:rFonts w:ascii="Times New Roman" w:hAnsi="Times New Roman" w:cs="Times New Roman"/>
          <w:sz w:val="32"/>
          <w:szCs w:val="32"/>
        </w:rPr>
      </w:pPr>
      <w:r w:rsidRPr="00FC48E9">
        <w:rPr>
          <w:rFonts w:ascii="Times New Roman" w:hAnsi="Times New Roman" w:cs="Times New Roman"/>
          <w:sz w:val="32"/>
          <w:szCs w:val="32"/>
        </w:rPr>
        <w:t xml:space="preserve">This is </w:t>
      </w:r>
      <w:r w:rsidR="008B4AE5">
        <w:rPr>
          <w:rFonts w:ascii="Times New Roman" w:hAnsi="Times New Roman" w:cs="Times New Roman"/>
          <w:sz w:val="32"/>
          <w:szCs w:val="32"/>
        </w:rPr>
        <w:t>Emily Dixon</w:t>
      </w:r>
      <w:r w:rsidRPr="00FC48E9">
        <w:rPr>
          <w:rFonts w:ascii="Times New Roman" w:hAnsi="Times New Roman" w:cs="Times New Roman"/>
          <w:sz w:val="32"/>
          <w:szCs w:val="32"/>
        </w:rPr>
        <w:t xml:space="preserve">. I’m </w:t>
      </w:r>
      <w:r w:rsidR="008B4AE5">
        <w:rPr>
          <w:rFonts w:ascii="Times New Roman" w:hAnsi="Times New Roman" w:cs="Times New Roman"/>
          <w:sz w:val="32"/>
          <w:szCs w:val="32"/>
        </w:rPr>
        <w:t>a</w:t>
      </w:r>
      <w:r w:rsidR="00192D0C" w:rsidRPr="00FC48E9">
        <w:rPr>
          <w:rFonts w:ascii="Times New Roman" w:hAnsi="Times New Roman" w:cs="Times New Roman"/>
          <w:sz w:val="32"/>
          <w:szCs w:val="32"/>
        </w:rPr>
        <w:t xml:space="preserve"> </w:t>
      </w:r>
      <w:r w:rsidR="00CA2CA9" w:rsidRPr="00FC48E9">
        <w:rPr>
          <w:rFonts w:ascii="Times New Roman" w:hAnsi="Times New Roman" w:cs="Times New Roman"/>
          <w:sz w:val="32"/>
          <w:szCs w:val="32"/>
        </w:rPr>
        <w:t>manager</w:t>
      </w:r>
      <w:r w:rsidR="001B66C5" w:rsidRPr="00FC48E9">
        <w:rPr>
          <w:rFonts w:ascii="Times New Roman" w:hAnsi="Times New Roman" w:cs="Times New Roman"/>
          <w:sz w:val="32"/>
          <w:szCs w:val="32"/>
        </w:rPr>
        <w:t xml:space="preserve"> for</w:t>
      </w:r>
      <w:r w:rsidRPr="00FC48E9">
        <w:rPr>
          <w:rFonts w:ascii="Times New Roman" w:hAnsi="Times New Roman" w:cs="Times New Roman"/>
          <w:sz w:val="32"/>
          <w:szCs w:val="32"/>
        </w:rPr>
        <w:t xml:space="preserve"> LLA</w:t>
      </w:r>
      <w:r w:rsidR="001B66C5" w:rsidRPr="00FC48E9">
        <w:rPr>
          <w:rFonts w:ascii="Times New Roman" w:hAnsi="Times New Roman" w:cs="Times New Roman"/>
          <w:sz w:val="32"/>
          <w:szCs w:val="32"/>
        </w:rPr>
        <w:t>’s</w:t>
      </w:r>
      <w:r w:rsidR="00BB483D" w:rsidRPr="00FC48E9">
        <w:rPr>
          <w:rFonts w:ascii="Times New Roman" w:hAnsi="Times New Roman" w:cs="Times New Roman"/>
          <w:sz w:val="32"/>
          <w:szCs w:val="32"/>
        </w:rPr>
        <w:t xml:space="preserve"> </w:t>
      </w:r>
      <w:r w:rsidR="00923BF7" w:rsidRPr="00FC48E9">
        <w:rPr>
          <w:rFonts w:ascii="Times New Roman" w:hAnsi="Times New Roman" w:cs="Times New Roman"/>
          <w:sz w:val="32"/>
          <w:szCs w:val="32"/>
        </w:rPr>
        <w:t>Performance Audit Services</w:t>
      </w:r>
      <w:r w:rsidRPr="00FC48E9">
        <w:rPr>
          <w:rFonts w:ascii="Times New Roman" w:hAnsi="Times New Roman" w:cs="Times New Roman"/>
          <w:sz w:val="32"/>
          <w:szCs w:val="32"/>
        </w:rPr>
        <w:t xml:space="preserve">. This episode of LLA Reports focuses on </w:t>
      </w:r>
      <w:r w:rsidR="00AE5D1F" w:rsidRPr="00FC48E9">
        <w:rPr>
          <w:rFonts w:ascii="Times New Roman" w:hAnsi="Times New Roman" w:cs="Times New Roman"/>
          <w:sz w:val="32"/>
          <w:szCs w:val="32"/>
        </w:rPr>
        <w:t>our new</w:t>
      </w:r>
      <w:r w:rsidRPr="00FC48E9">
        <w:rPr>
          <w:rFonts w:ascii="Times New Roman" w:hAnsi="Times New Roman" w:cs="Times New Roman"/>
          <w:sz w:val="32"/>
          <w:szCs w:val="32"/>
        </w:rPr>
        <w:t xml:space="preserve"> report titled “</w:t>
      </w:r>
      <w:r w:rsidR="008B4AE5">
        <w:rPr>
          <w:rFonts w:ascii="Times New Roman" w:hAnsi="Times New Roman" w:cs="Times New Roman"/>
          <w:sz w:val="32"/>
          <w:szCs w:val="32"/>
        </w:rPr>
        <w:t>Abuse and Neglect in Intermediate Care Facilities for Individuals with Developmental Disabilities</w:t>
      </w:r>
      <w:r w:rsidR="0044066A" w:rsidRPr="00FC48E9">
        <w:rPr>
          <w:rFonts w:ascii="Times New Roman" w:hAnsi="Times New Roman" w:cs="Times New Roman"/>
          <w:sz w:val="32"/>
          <w:szCs w:val="32"/>
        </w:rPr>
        <w:t>.</w:t>
      </w:r>
      <w:r w:rsidRPr="00FC48E9">
        <w:rPr>
          <w:rFonts w:ascii="Times New Roman" w:hAnsi="Times New Roman" w:cs="Times New Roman"/>
          <w:sz w:val="32"/>
          <w:szCs w:val="32"/>
        </w:rPr>
        <w:t>”</w:t>
      </w:r>
    </w:p>
    <w:p w:rsidR="00923BF7" w:rsidRPr="00FC48E9" w:rsidRDefault="00923BF7" w:rsidP="00FC48E9">
      <w:pPr>
        <w:pStyle w:val="NoSpacing"/>
        <w:rPr>
          <w:rFonts w:ascii="Times New Roman" w:hAnsi="Times New Roman" w:cs="Times New Roman"/>
          <w:sz w:val="32"/>
          <w:szCs w:val="32"/>
        </w:rPr>
      </w:pPr>
    </w:p>
    <w:p w:rsidR="00FC48E9" w:rsidRPr="00FC48E9" w:rsidRDefault="00FC48E9" w:rsidP="00FC48E9">
      <w:pPr>
        <w:pStyle w:val="NoSpacing"/>
        <w:rPr>
          <w:rFonts w:ascii="Times New Roman" w:hAnsi="Times New Roman" w:cs="Times New Roman"/>
          <w:sz w:val="32"/>
          <w:szCs w:val="32"/>
        </w:rPr>
      </w:pPr>
      <w:r w:rsidRPr="00FC48E9">
        <w:rPr>
          <w:rFonts w:ascii="Times New Roman" w:hAnsi="Times New Roman" w:cs="Times New Roman"/>
          <w:sz w:val="32"/>
          <w:szCs w:val="32"/>
        </w:rPr>
        <w:t xml:space="preserve">This report provides the results of our </w:t>
      </w:r>
      <w:r w:rsidR="008B4AE5">
        <w:rPr>
          <w:rFonts w:ascii="Times New Roman" w:hAnsi="Times New Roman" w:cs="Times New Roman"/>
          <w:sz w:val="32"/>
          <w:szCs w:val="32"/>
        </w:rPr>
        <w:t xml:space="preserve">evaluation </w:t>
      </w:r>
      <w:r w:rsidRPr="00FC48E9">
        <w:rPr>
          <w:rFonts w:ascii="Times New Roman" w:hAnsi="Times New Roman" w:cs="Times New Roman"/>
          <w:sz w:val="32"/>
          <w:szCs w:val="32"/>
        </w:rPr>
        <w:t>of the Louisiana Department of Health</w:t>
      </w:r>
      <w:r w:rsidR="008B4AE5">
        <w:rPr>
          <w:rFonts w:ascii="Times New Roman" w:hAnsi="Times New Roman" w:cs="Times New Roman"/>
          <w:sz w:val="32"/>
          <w:szCs w:val="32"/>
        </w:rPr>
        <w:t xml:space="preserve">’s – or LDH’s – activities related to abuse and neglect in Intermediate Care Facilities for Individuals with Developmental Disabilities – or ICFs. </w:t>
      </w:r>
    </w:p>
    <w:p w:rsidR="00FC48E9" w:rsidRPr="008B4AE5" w:rsidRDefault="00FC48E9" w:rsidP="008B4AE5">
      <w:pPr>
        <w:pStyle w:val="NoSpacing"/>
        <w:rPr>
          <w:rFonts w:ascii="Times New Roman" w:hAnsi="Times New Roman" w:cs="Times New Roman"/>
          <w:sz w:val="32"/>
          <w:szCs w:val="32"/>
        </w:rPr>
      </w:pPr>
    </w:p>
    <w:p w:rsidR="008B4AE5"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LDH monitors the ICFs’ compliance with requirements through inspections called surveys. The department conducts an initial survey when an ICF opens, </w:t>
      </w:r>
      <w:r w:rsidR="00A90F10">
        <w:rPr>
          <w:rFonts w:ascii="Times New Roman" w:hAnsi="Times New Roman" w:cs="Times New Roman"/>
          <w:sz w:val="32"/>
          <w:szCs w:val="32"/>
        </w:rPr>
        <w:t xml:space="preserve">and </w:t>
      </w:r>
      <w:r w:rsidRPr="008B4AE5">
        <w:rPr>
          <w:rFonts w:ascii="Times New Roman" w:hAnsi="Times New Roman" w:cs="Times New Roman"/>
          <w:sz w:val="32"/>
          <w:szCs w:val="32"/>
        </w:rPr>
        <w:t>then conducts a recertification survey at least once every 15 months. We found LDH improved the timeliness of its recertification surveys from 362 of 378, or 95.8</w:t>
      </w:r>
      <w:r w:rsidR="00A90F10">
        <w:rPr>
          <w:rFonts w:ascii="Times New Roman" w:hAnsi="Times New Roman" w:cs="Times New Roman"/>
          <w:sz w:val="32"/>
          <w:szCs w:val="32"/>
        </w:rPr>
        <w:t xml:space="preserve"> percent</w:t>
      </w:r>
      <w:r w:rsidRPr="008B4AE5">
        <w:rPr>
          <w:rFonts w:ascii="Times New Roman" w:hAnsi="Times New Roman" w:cs="Times New Roman"/>
          <w:sz w:val="32"/>
          <w:szCs w:val="32"/>
        </w:rPr>
        <w:t xml:space="preserve">, </w:t>
      </w:r>
      <w:r w:rsidR="00455C28">
        <w:rPr>
          <w:rFonts w:ascii="Times New Roman" w:hAnsi="Times New Roman" w:cs="Times New Roman"/>
          <w:sz w:val="32"/>
          <w:szCs w:val="32"/>
        </w:rPr>
        <w:t xml:space="preserve">conducted timely </w:t>
      </w:r>
      <w:r w:rsidRPr="008B4AE5">
        <w:rPr>
          <w:rFonts w:ascii="Times New Roman" w:hAnsi="Times New Roman" w:cs="Times New Roman"/>
          <w:sz w:val="32"/>
          <w:szCs w:val="32"/>
        </w:rPr>
        <w:t>in fiscal year 2020 to 100</w:t>
      </w:r>
      <w:r w:rsidR="00A90F10">
        <w:rPr>
          <w:rFonts w:ascii="Times New Roman" w:hAnsi="Times New Roman" w:cs="Times New Roman"/>
          <w:sz w:val="32"/>
          <w:szCs w:val="32"/>
        </w:rPr>
        <w:t xml:space="preserve"> percent</w:t>
      </w:r>
      <w:r w:rsidRPr="008B4AE5">
        <w:rPr>
          <w:rFonts w:ascii="Times New Roman" w:hAnsi="Times New Roman" w:cs="Times New Roman"/>
          <w:sz w:val="32"/>
          <w:szCs w:val="32"/>
        </w:rPr>
        <w:t xml:space="preserve"> of 413 </w:t>
      </w:r>
      <w:r w:rsidR="00E43E1D">
        <w:rPr>
          <w:rFonts w:ascii="Times New Roman" w:hAnsi="Times New Roman" w:cs="Times New Roman"/>
          <w:sz w:val="32"/>
          <w:szCs w:val="32"/>
        </w:rPr>
        <w:t xml:space="preserve">conducted timely </w:t>
      </w:r>
      <w:r w:rsidRPr="008B4AE5">
        <w:rPr>
          <w:rFonts w:ascii="Times New Roman" w:hAnsi="Times New Roman" w:cs="Times New Roman"/>
          <w:sz w:val="32"/>
          <w:szCs w:val="32"/>
        </w:rPr>
        <w:t xml:space="preserve">in fiscal year 2023. </w:t>
      </w:r>
    </w:p>
    <w:p w:rsidR="008B4AE5" w:rsidRPr="008B4AE5" w:rsidRDefault="008B4AE5" w:rsidP="008B4AE5">
      <w:pPr>
        <w:pStyle w:val="NoSpacing"/>
        <w:rPr>
          <w:rFonts w:ascii="Times New Roman" w:hAnsi="Times New Roman" w:cs="Times New Roman"/>
          <w:sz w:val="32"/>
          <w:szCs w:val="32"/>
        </w:rPr>
      </w:pPr>
    </w:p>
    <w:p w:rsidR="008B4AE5"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In addition, we found LDH received 718 complaints related to ICFs during fiscal years 2019 through 2023. Of those complaints, 193 received an Immediate Jeopardy priority, and LDH </w:t>
      </w:r>
      <w:r w:rsidR="00C85329">
        <w:rPr>
          <w:rFonts w:ascii="Times New Roman" w:hAnsi="Times New Roman" w:cs="Times New Roman"/>
          <w:sz w:val="32"/>
          <w:szCs w:val="32"/>
        </w:rPr>
        <w:t>started</w:t>
      </w:r>
      <w:r w:rsidRPr="008B4AE5">
        <w:rPr>
          <w:rFonts w:ascii="Times New Roman" w:hAnsi="Times New Roman" w:cs="Times New Roman"/>
          <w:sz w:val="32"/>
          <w:szCs w:val="32"/>
        </w:rPr>
        <w:t xml:space="preserve"> an onsite investigation within two business days as required. However, LDH is not able to easily identify which complaints are related to abuse and neglect.  </w:t>
      </w:r>
    </w:p>
    <w:p w:rsidR="008B4AE5" w:rsidRPr="008B4AE5" w:rsidRDefault="008B4AE5" w:rsidP="008B4AE5">
      <w:pPr>
        <w:pStyle w:val="NoSpacing"/>
        <w:rPr>
          <w:rFonts w:ascii="Times New Roman" w:hAnsi="Times New Roman" w:cs="Times New Roman"/>
          <w:sz w:val="32"/>
          <w:szCs w:val="32"/>
        </w:rPr>
      </w:pPr>
    </w:p>
    <w:p w:rsidR="00A90F10"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We found, too, that the ICFs reported more than 4,000 incidents of actual or alleged abuse and neglect during fiscal years 2019 through 2023. However, LDH did not ensure the ICFs reported the incidents in a timely manner. </w:t>
      </w:r>
    </w:p>
    <w:p w:rsidR="00A90F10" w:rsidRDefault="00A90F10" w:rsidP="008B4AE5">
      <w:pPr>
        <w:pStyle w:val="NoSpacing"/>
        <w:rPr>
          <w:rFonts w:ascii="Times New Roman" w:hAnsi="Times New Roman" w:cs="Times New Roman"/>
          <w:sz w:val="32"/>
          <w:szCs w:val="32"/>
        </w:rPr>
      </w:pPr>
    </w:p>
    <w:p w:rsidR="00A90F10"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lastRenderedPageBreak/>
        <w:t>Of 4,698 Facility-Reported Incidents</w:t>
      </w:r>
      <w:r w:rsidR="00A90F10">
        <w:rPr>
          <w:rFonts w:ascii="Times New Roman" w:hAnsi="Times New Roman" w:cs="Times New Roman"/>
          <w:sz w:val="32"/>
          <w:szCs w:val="32"/>
        </w:rPr>
        <w:t xml:space="preserve"> – or </w:t>
      </w:r>
      <w:r w:rsidRPr="008B4AE5">
        <w:rPr>
          <w:rFonts w:ascii="Times New Roman" w:hAnsi="Times New Roman" w:cs="Times New Roman"/>
          <w:sz w:val="32"/>
          <w:szCs w:val="32"/>
        </w:rPr>
        <w:t>FRIs</w:t>
      </w:r>
      <w:r w:rsidR="00A90F10">
        <w:rPr>
          <w:rFonts w:ascii="Times New Roman" w:hAnsi="Times New Roman" w:cs="Times New Roman"/>
          <w:sz w:val="32"/>
          <w:szCs w:val="32"/>
        </w:rPr>
        <w:t xml:space="preserve"> –</w:t>
      </w:r>
      <w:r w:rsidRPr="008B4AE5">
        <w:rPr>
          <w:rFonts w:ascii="Times New Roman" w:hAnsi="Times New Roman" w:cs="Times New Roman"/>
          <w:sz w:val="32"/>
          <w:szCs w:val="32"/>
        </w:rPr>
        <w:t xml:space="preserve"> 1,103, or 23.5</w:t>
      </w:r>
      <w:r w:rsidR="00A90F10">
        <w:rPr>
          <w:rFonts w:ascii="Times New Roman" w:hAnsi="Times New Roman" w:cs="Times New Roman"/>
          <w:sz w:val="32"/>
          <w:szCs w:val="32"/>
        </w:rPr>
        <w:t xml:space="preserve"> percent</w:t>
      </w:r>
      <w:r w:rsidRPr="008B4AE5">
        <w:rPr>
          <w:rFonts w:ascii="Times New Roman" w:hAnsi="Times New Roman" w:cs="Times New Roman"/>
          <w:sz w:val="32"/>
          <w:szCs w:val="32"/>
        </w:rPr>
        <w:t xml:space="preserve">, were not reported within 24 hours of discovery as required by state regulations. </w:t>
      </w:r>
    </w:p>
    <w:p w:rsidR="00A90F10" w:rsidRDefault="00A90F10" w:rsidP="008B4AE5">
      <w:pPr>
        <w:pStyle w:val="NoSpacing"/>
        <w:rPr>
          <w:rFonts w:ascii="Times New Roman" w:hAnsi="Times New Roman" w:cs="Times New Roman"/>
          <w:sz w:val="32"/>
          <w:szCs w:val="32"/>
        </w:rPr>
      </w:pPr>
    </w:p>
    <w:p w:rsidR="008B4AE5"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In addition, as of May 2024, 25 of 64</w:t>
      </w:r>
      <w:r w:rsidR="00A90F10">
        <w:rPr>
          <w:rFonts w:ascii="Times New Roman" w:hAnsi="Times New Roman" w:cs="Times New Roman"/>
          <w:sz w:val="32"/>
          <w:szCs w:val="32"/>
        </w:rPr>
        <w:t xml:space="preserve"> </w:t>
      </w:r>
      <w:r w:rsidRPr="008B4AE5">
        <w:rPr>
          <w:rFonts w:ascii="Times New Roman" w:hAnsi="Times New Roman" w:cs="Times New Roman"/>
          <w:sz w:val="32"/>
          <w:szCs w:val="32"/>
        </w:rPr>
        <w:t>sheriffs’ offices did not have access to the Statewide Incident Management System to respond to allegations of abuse and neglect within their jurisdictions.</w:t>
      </w:r>
    </w:p>
    <w:p w:rsidR="008B4AE5" w:rsidRPr="008B4AE5" w:rsidRDefault="008B4AE5" w:rsidP="008B4AE5">
      <w:pPr>
        <w:pStyle w:val="NoSpacing"/>
        <w:rPr>
          <w:rFonts w:ascii="Times New Roman" w:hAnsi="Times New Roman" w:cs="Times New Roman"/>
          <w:sz w:val="32"/>
          <w:szCs w:val="32"/>
        </w:rPr>
      </w:pPr>
    </w:p>
    <w:p w:rsidR="00A90F10"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Additionally, we found LDH cited the ICFs with 4,948 deficiencies during fiscal years 2019 through 2023. Of th</w:t>
      </w:r>
      <w:r w:rsidR="00C85329">
        <w:rPr>
          <w:rFonts w:ascii="Times New Roman" w:hAnsi="Times New Roman" w:cs="Times New Roman"/>
          <w:sz w:val="32"/>
          <w:szCs w:val="32"/>
        </w:rPr>
        <w:t>e</w:t>
      </w:r>
      <w:r w:rsidRPr="008B4AE5">
        <w:rPr>
          <w:rFonts w:ascii="Times New Roman" w:hAnsi="Times New Roman" w:cs="Times New Roman"/>
          <w:sz w:val="32"/>
          <w:szCs w:val="32"/>
        </w:rPr>
        <w:t>se, 614</w:t>
      </w:r>
      <w:r w:rsidR="00A90F10">
        <w:rPr>
          <w:rFonts w:ascii="Times New Roman" w:hAnsi="Times New Roman" w:cs="Times New Roman"/>
          <w:sz w:val="32"/>
          <w:szCs w:val="32"/>
        </w:rPr>
        <w:t xml:space="preserve"> – or </w:t>
      </w:r>
      <w:r w:rsidRPr="008B4AE5">
        <w:rPr>
          <w:rFonts w:ascii="Times New Roman" w:hAnsi="Times New Roman" w:cs="Times New Roman"/>
          <w:sz w:val="32"/>
          <w:szCs w:val="32"/>
        </w:rPr>
        <w:t>12.4</w:t>
      </w:r>
      <w:r w:rsidR="00A90F10">
        <w:rPr>
          <w:rFonts w:ascii="Times New Roman" w:hAnsi="Times New Roman" w:cs="Times New Roman"/>
          <w:sz w:val="32"/>
          <w:szCs w:val="32"/>
        </w:rPr>
        <w:t xml:space="preserve"> percent – </w:t>
      </w:r>
      <w:r w:rsidRPr="008B4AE5">
        <w:rPr>
          <w:rFonts w:ascii="Times New Roman" w:hAnsi="Times New Roman" w:cs="Times New Roman"/>
          <w:sz w:val="32"/>
          <w:szCs w:val="32"/>
        </w:rPr>
        <w:t xml:space="preserve">were related to client protections, which included deficiencies related to abuse and neglect. </w:t>
      </w:r>
    </w:p>
    <w:p w:rsidR="00A90F10" w:rsidRDefault="00A90F10" w:rsidP="008B4AE5">
      <w:pPr>
        <w:pStyle w:val="NoSpacing"/>
        <w:rPr>
          <w:rFonts w:ascii="Times New Roman" w:hAnsi="Times New Roman" w:cs="Times New Roman"/>
          <w:sz w:val="32"/>
          <w:szCs w:val="32"/>
        </w:rPr>
      </w:pPr>
    </w:p>
    <w:p w:rsidR="008B4AE5"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LDH could increase transparency and assist the public with making more informed decisions about care by posting information about deficiencies, complaints, and FRIs on its website.</w:t>
      </w:r>
    </w:p>
    <w:p w:rsidR="008B4AE5" w:rsidRPr="008B4AE5" w:rsidRDefault="008B4AE5" w:rsidP="008B4AE5">
      <w:pPr>
        <w:pStyle w:val="NoSpacing"/>
        <w:rPr>
          <w:rFonts w:ascii="Times New Roman" w:hAnsi="Times New Roman" w:cs="Times New Roman"/>
          <w:sz w:val="32"/>
          <w:szCs w:val="32"/>
        </w:rPr>
      </w:pPr>
    </w:p>
    <w:p w:rsidR="008B4AE5"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LDH fined the ICFs a total of $450,250 </w:t>
      </w:r>
      <w:r w:rsidR="00C85329">
        <w:rPr>
          <w:rFonts w:ascii="Times New Roman" w:hAnsi="Times New Roman" w:cs="Times New Roman"/>
          <w:sz w:val="32"/>
          <w:szCs w:val="32"/>
        </w:rPr>
        <w:t xml:space="preserve">dollars </w:t>
      </w:r>
      <w:r w:rsidRPr="008B4AE5">
        <w:rPr>
          <w:rFonts w:ascii="Times New Roman" w:hAnsi="Times New Roman" w:cs="Times New Roman"/>
          <w:sz w:val="32"/>
          <w:szCs w:val="32"/>
        </w:rPr>
        <w:t xml:space="preserve">for deficiencies identified in surveys and investigations conducted during fiscal years 2019 through 2023. However, the amounts may not be adequate to deter noncompliance. Fine maximums established in state law have not increased since they were set in 1997. </w:t>
      </w:r>
    </w:p>
    <w:p w:rsidR="008B4AE5" w:rsidRPr="008B4AE5" w:rsidRDefault="008B4AE5" w:rsidP="008B4AE5">
      <w:pPr>
        <w:pStyle w:val="NoSpacing"/>
        <w:rPr>
          <w:rFonts w:ascii="Times New Roman" w:hAnsi="Times New Roman" w:cs="Times New Roman"/>
          <w:sz w:val="32"/>
          <w:szCs w:val="32"/>
        </w:rPr>
      </w:pPr>
    </w:p>
    <w:p w:rsidR="009015BD" w:rsidRPr="008B4AE5" w:rsidRDefault="008B4AE5"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We also found LDH could use Medicaid data to monitor the ICFs for compliance with Medicaid requirements. For example, we identified ICF residents who potentially did not receive annual doctor visits as required by Medicaid. A review of Medicaid data for medical services provided </w:t>
      </w:r>
      <w:r w:rsidR="00C85329">
        <w:rPr>
          <w:rFonts w:ascii="Times New Roman" w:hAnsi="Times New Roman" w:cs="Times New Roman"/>
          <w:sz w:val="32"/>
          <w:szCs w:val="32"/>
        </w:rPr>
        <w:t>in</w:t>
      </w:r>
      <w:r w:rsidRPr="008B4AE5">
        <w:rPr>
          <w:rFonts w:ascii="Times New Roman" w:hAnsi="Times New Roman" w:cs="Times New Roman"/>
          <w:sz w:val="32"/>
          <w:szCs w:val="32"/>
        </w:rPr>
        <w:t xml:space="preserve"> fiscal year 2022 found that 135 </w:t>
      </w:r>
      <w:r w:rsidR="00C85329">
        <w:rPr>
          <w:rFonts w:ascii="Times New Roman" w:hAnsi="Times New Roman" w:cs="Times New Roman"/>
          <w:sz w:val="32"/>
          <w:szCs w:val="32"/>
        </w:rPr>
        <w:t xml:space="preserve">– or 4.3 percent – </w:t>
      </w:r>
      <w:r w:rsidRPr="008B4AE5">
        <w:rPr>
          <w:rFonts w:ascii="Times New Roman" w:hAnsi="Times New Roman" w:cs="Times New Roman"/>
          <w:sz w:val="32"/>
          <w:szCs w:val="32"/>
        </w:rPr>
        <w:t>of 3,165 ICF residents potentially did not receive an annual doctor visit.</w:t>
      </w:r>
      <w:r w:rsidR="009015BD" w:rsidRPr="008B4AE5">
        <w:rPr>
          <w:rFonts w:ascii="Times New Roman" w:hAnsi="Times New Roman" w:cs="Times New Roman"/>
          <w:sz w:val="32"/>
          <w:szCs w:val="32"/>
        </w:rPr>
        <w:t xml:space="preserve"> </w:t>
      </w:r>
    </w:p>
    <w:p w:rsidR="004343BD" w:rsidRPr="008B4AE5" w:rsidRDefault="004343BD" w:rsidP="008B4AE5">
      <w:pPr>
        <w:pStyle w:val="NoSpacing"/>
        <w:rPr>
          <w:rFonts w:ascii="Times New Roman" w:hAnsi="Times New Roman" w:cs="Times New Roman"/>
          <w:sz w:val="32"/>
          <w:szCs w:val="32"/>
        </w:rPr>
      </w:pPr>
    </w:p>
    <w:p w:rsidR="00AE68CD" w:rsidRDefault="00AB1CDE" w:rsidP="008B4AE5">
      <w:pPr>
        <w:pStyle w:val="NoSpacing"/>
        <w:rPr>
          <w:rFonts w:ascii="Times New Roman" w:hAnsi="Times New Roman" w:cs="Times New Roman"/>
          <w:sz w:val="32"/>
          <w:szCs w:val="32"/>
        </w:rPr>
      </w:pPr>
      <w:r w:rsidRPr="008B4AE5">
        <w:rPr>
          <w:rFonts w:ascii="Times New Roman" w:hAnsi="Times New Roman" w:cs="Times New Roman"/>
          <w:sz w:val="32"/>
          <w:szCs w:val="32"/>
        </w:rPr>
        <w:t xml:space="preserve">As a result of our </w:t>
      </w:r>
      <w:r w:rsidR="00DD2282" w:rsidRPr="008B4AE5">
        <w:rPr>
          <w:rFonts w:ascii="Times New Roman" w:hAnsi="Times New Roman" w:cs="Times New Roman"/>
          <w:sz w:val="32"/>
          <w:szCs w:val="32"/>
        </w:rPr>
        <w:t>report</w:t>
      </w:r>
      <w:r w:rsidRPr="008B4AE5">
        <w:rPr>
          <w:rFonts w:ascii="Times New Roman" w:hAnsi="Times New Roman" w:cs="Times New Roman"/>
          <w:sz w:val="32"/>
          <w:szCs w:val="32"/>
        </w:rPr>
        <w:t xml:space="preserve">, we developed </w:t>
      </w:r>
      <w:r w:rsidR="008B4AE5" w:rsidRPr="008B4AE5">
        <w:rPr>
          <w:rFonts w:ascii="Times New Roman" w:hAnsi="Times New Roman" w:cs="Times New Roman"/>
          <w:sz w:val="32"/>
          <w:szCs w:val="32"/>
        </w:rPr>
        <w:t>eight</w:t>
      </w:r>
      <w:r w:rsidR="008102F5" w:rsidRPr="008B4AE5">
        <w:rPr>
          <w:rFonts w:ascii="Times New Roman" w:hAnsi="Times New Roman" w:cs="Times New Roman"/>
          <w:sz w:val="32"/>
          <w:szCs w:val="32"/>
        </w:rPr>
        <w:t xml:space="preserve"> recommendations.</w:t>
      </w:r>
      <w:r w:rsidR="00AE68CD" w:rsidRPr="008B4AE5">
        <w:rPr>
          <w:rFonts w:ascii="Times New Roman" w:hAnsi="Times New Roman" w:cs="Times New Roman"/>
          <w:sz w:val="32"/>
          <w:szCs w:val="32"/>
        </w:rPr>
        <w:t xml:space="preserve"> </w:t>
      </w:r>
    </w:p>
    <w:p w:rsidR="00C85329" w:rsidRDefault="00C85329" w:rsidP="008B4AE5">
      <w:pPr>
        <w:pStyle w:val="NoSpacing"/>
        <w:rPr>
          <w:rFonts w:ascii="Times New Roman" w:hAnsi="Times New Roman" w:cs="Times New Roman"/>
          <w:sz w:val="32"/>
          <w:szCs w:val="32"/>
        </w:rPr>
      </w:pPr>
    </w:p>
    <w:p w:rsidR="008B4AE5" w:rsidRPr="008B4AE5" w:rsidRDefault="00C85329" w:rsidP="008B4AE5">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that LDH continue reverting to its </w:t>
      </w:r>
      <w:r w:rsidR="008B4AE5" w:rsidRPr="008B4AE5">
        <w:rPr>
          <w:rFonts w:ascii="Times New Roman" w:hAnsi="Times New Roman" w:cs="Times New Roman"/>
          <w:sz w:val="32"/>
          <w:szCs w:val="32"/>
        </w:rPr>
        <w:t xml:space="preserve">old complaint categories to allow it to more easily track allegations of noncompliance </w:t>
      </w:r>
      <w:r w:rsidR="008B4AE5" w:rsidRPr="008B4AE5">
        <w:rPr>
          <w:rFonts w:ascii="Times New Roman" w:hAnsi="Times New Roman" w:cs="Times New Roman"/>
          <w:sz w:val="32"/>
          <w:szCs w:val="32"/>
        </w:rPr>
        <w:lastRenderedPageBreak/>
        <w:t xml:space="preserve">related to abuse and neglect </w:t>
      </w:r>
      <w:r>
        <w:rPr>
          <w:rFonts w:ascii="Times New Roman" w:hAnsi="Times New Roman" w:cs="Times New Roman"/>
          <w:sz w:val="32"/>
          <w:szCs w:val="32"/>
        </w:rPr>
        <w:t>so it can</w:t>
      </w:r>
      <w:r w:rsidR="008B4AE5" w:rsidRPr="008B4AE5">
        <w:rPr>
          <w:rFonts w:ascii="Times New Roman" w:hAnsi="Times New Roman" w:cs="Times New Roman"/>
          <w:sz w:val="32"/>
          <w:szCs w:val="32"/>
        </w:rPr>
        <w:t xml:space="preserve"> identify trends or systemic problems.</w:t>
      </w:r>
    </w:p>
    <w:p w:rsidR="008B4AE5" w:rsidRPr="008B4AE5" w:rsidRDefault="008B4AE5" w:rsidP="008B4AE5">
      <w:pPr>
        <w:pStyle w:val="NoSpacing"/>
        <w:rPr>
          <w:rFonts w:ascii="Times New Roman" w:hAnsi="Times New Roman" w:cs="Times New Roman"/>
          <w:sz w:val="32"/>
          <w:szCs w:val="32"/>
        </w:rPr>
      </w:pPr>
    </w:p>
    <w:p w:rsidR="008B4AE5" w:rsidRPr="008B4AE5" w:rsidRDefault="00C85329" w:rsidP="008B4AE5">
      <w:pPr>
        <w:pStyle w:val="NoSpacing"/>
        <w:rPr>
          <w:rFonts w:ascii="Times New Roman" w:hAnsi="Times New Roman" w:cs="Times New Roman"/>
          <w:sz w:val="32"/>
          <w:szCs w:val="32"/>
        </w:rPr>
      </w:pPr>
      <w:r w:rsidRPr="00C85329">
        <w:rPr>
          <w:rFonts w:ascii="Times New Roman" w:hAnsi="Times New Roman" w:cs="Times New Roman"/>
          <w:sz w:val="32"/>
          <w:szCs w:val="32"/>
        </w:rPr>
        <w:t>We also recommended that</w:t>
      </w:r>
      <w:r w:rsidR="008B4AE5" w:rsidRPr="008B4AE5">
        <w:rPr>
          <w:rFonts w:ascii="Times New Roman" w:hAnsi="Times New Roman" w:cs="Times New Roman"/>
          <w:b/>
          <w:sz w:val="32"/>
          <w:szCs w:val="32"/>
        </w:rPr>
        <w:t xml:space="preserve"> </w:t>
      </w:r>
      <w:r w:rsidR="008B4AE5" w:rsidRPr="008B4AE5">
        <w:rPr>
          <w:rFonts w:ascii="Times New Roman" w:hAnsi="Times New Roman" w:cs="Times New Roman"/>
          <w:sz w:val="32"/>
          <w:szCs w:val="32"/>
        </w:rPr>
        <w:t xml:space="preserve">LDH work with stakeholders to improve its process for communicating with </w:t>
      </w:r>
      <w:bookmarkStart w:id="1" w:name="_Hlk169702952"/>
      <w:r w:rsidR="008B4AE5" w:rsidRPr="008B4AE5">
        <w:rPr>
          <w:rFonts w:ascii="Times New Roman" w:hAnsi="Times New Roman" w:cs="Times New Roman"/>
          <w:sz w:val="32"/>
          <w:szCs w:val="32"/>
        </w:rPr>
        <w:t xml:space="preserve">complainants to help ensure they understand </w:t>
      </w:r>
      <w:r>
        <w:rPr>
          <w:rFonts w:ascii="Times New Roman" w:hAnsi="Times New Roman" w:cs="Times New Roman"/>
          <w:sz w:val="32"/>
          <w:szCs w:val="32"/>
        </w:rPr>
        <w:t>the department’s</w:t>
      </w:r>
      <w:r w:rsidR="008B4AE5" w:rsidRPr="008B4AE5">
        <w:rPr>
          <w:rFonts w:ascii="Times New Roman" w:hAnsi="Times New Roman" w:cs="Times New Roman"/>
          <w:sz w:val="32"/>
          <w:szCs w:val="32"/>
        </w:rPr>
        <w:t xml:space="preserve"> role is limited to identifying noncompliance with requirements</w:t>
      </w:r>
      <w:bookmarkEnd w:id="1"/>
      <w:r w:rsidR="008B4AE5" w:rsidRPr="008B4AE5">
        <w:rPr>
          <w:rFonts w:ascii="Times New Roman" w:hAnsi="Times New Roman" w:cs="Times New Roman"/>
          <w:sz w:val="32"/>
          <w:szCs w:val="32"/>
        </w:rPr>
        <w:t>.</w:t>
      </w:r>
    </w:p>
    <w:p w:rsidR="008B4AE5" w:rsidRPr="008B4AE5" w:rsidRDefault="008B4AE5" w:rsidP="008B4AE5">
      <w:pPr>
        <w:pStyle w:val="NoSpacing"/>
        <w:rPr>
          <w:rFonts w:ascii="Times New Roman" w:hAnsi="Times New Roman" w:cs="Times New Roman"/>
          <w:sz w:val="32"/>
          <w:szCs w:val="32"/>
        </w:rPr>
      </w:pPr>
    </w:p>
    <w:p w:rsidR="008B4AE5" w:rsidRPr="008B4AE5" w:rsidRDefault="00C85329" w:rsidP="008B4AE5">
      <w:pPr>
        <w:pStyle w:val="NoSpacing"/>
        <w:rPr>
          <w:rFonts w:ascii="Times New Roman" w:hAnsi="Times New Roman" w:cs="Times New Roman"/>
          <w:sz w:val="32"/>
          <w:szCs w:val="32"/>
        </w:rPr>
      </w:pPr>
      <w:r w:rsidRPr="00C85329">
        <w:rPr>
          <w:rFonts w:ascii="Times New Roman" w:hAnsi="Times New Roman" w:cs="Times New Roman"/>
          <w:sz w:val="32"/>
          <w:szCs w:val="32"/>
        </w:rPr>
        <w:t>In addition, we recommended</w:t>
      </w:r>
      <w:r>
        <w:rPr>
          <w:rFonts w:ascii="Times New Roman" w:hAnsi="Times New Roman" w:cs="Times New Roman"/>
          <w:b/>
          <w:sz w:val="32"/>
          <w:szCs w:val="32"/>
        </w:rPr>
        <w:t xml:space="preserve"> </w:t>
      </w:r>
      <w:r>
        <w:rPr>
          <w:rFonts w:ascii="Times New Roman" w:hAnsi="Times New Roman" w:cs="Times New Roman"/>
          <w:sz w:val="32"/>
          <w:szCs w:val="32"/>
        </w:rPr>
        <w:t xml:space="preserve">that </w:t>
      </w:r>
      <w:r w:rsidR="008B4AE5" w:rsidRPr="008B4AE5">
        <w:rPr>
          <w:rFonts w:ascii="Times New Roman" w:hAnsi="Times New Roman" w:cs="Times New Roman"/>
          <w:sz w:val="32"/>
          <w:szCs w:val="32"/>
        </w:rPr>
        <w:t xml:space="preserve">LDH monitor </w:t>
      </w:r>
      <w:r>
        <w:rPr>
          <w:rFonts w:ascii="Times New Roman" w:hAnsi="Times New Roman" w:cs="Times New Roman"/>
          <w:sz w:val="32"/>
          <w:szCs w:val="32"/>
        </w:rPr>
        <w:t xml:space="preserve">the </w:t>
      </w:r>
      <w:r w:rsidR="008B4AE5" w:rsidRPr="008B4AE5">
        <w:rPr>
          <w:rFonts w:ascii="Times New Roman" w:hAnsi="Times New Roman" w:cs="Times New Roman"/>
          <w:sz w:val="32"/>
          <w:szCs w:val="32"/>
        </w:rPr>
        <w:t xml:space="preserve">ICFs’ compliance with the requirement to report </w:t>
      </w:r>
      <w:r w:rsidR="008F52FB">
        <w:rPr>
          <w:rFonts w:ascii="Times New Roman" w:hAnsi="Times New Roman" w:cs="Times New Roman"/>
          <w:sz w:val="32"/>
          <w:szCs w:val="32"/>
        </w:rPr>
        <w:t>FRIs</w:t>
      </w:r>
      <w:r>
        <w:rPr>
          <w:rFonts w:ascii="Times New Roman" w:hAnsi="Times New Roman" w:cs="Times New Roman"/>
          <w:sz w:val="32"/>
          <w:szCs w:val="32"/>
        </w:rPr>
        <w:t xml:space="preserve"> </w:t>
      </w:r>
      <w:r w:rsidR="008B4AE5" w:rsidRPr="008B4AE5">
        <w:rPr>
          <w:rFonts w:ascii="Times New Roman" w:hAnsi="Times New Roman" w:cs="Times New Roman"/>
          <w:sz w:val="32"/>
          <w:szCs w:val="32"/>
        </w:rPr>
        <w:t>within 24 hours of discovery</w:t>
      </w:r>
      <w:r>
        <w:rPr>
          <w:rFonts w:ascii="Times New Roman" w:hAnsi="Times New Roman" w:cs="Times New Roman"/>
          <w:sz w:val="32"/>
          <w:szCs w:val="32"/>
        </w:rPr>
        <w:t xml:space="preserve"> and </w:t>
      </w:r>
      <w:r w:rsidR="008B4AE5" w:rsidRPr="008B4AE5">
        <w:rPr>
          <w:rFonts w:ascii="Times New Roman" w:hAnsi="Times New Roman" w:cs="Times New Roman"/>
          <w:sz w:val="32"/>
          <w:szCs w:val="32"/>
        </w:rPr>
        <w:t xml:space="preserve">issue fines when </w:t>
      </w:r>
      <w:r w:rsidR="00F0018E">
        <w:rPr>
          <w:rFonts w:ascii="Times New Roman" w:hAnsi="Times New Roman" w:cs="Times New Roman"/>
          <w:sz w:val="32"/>
          <w:szCs w:val="32"/>
        </w:rPr>
        <w:t xml:space="preserve">the </w:t>
      </w:r>
      <w:r w:rsidR="008B4AE5" w:rsidRPr="008B4AE5">
        <w:rPr>
          <w:rFonts w:ascii="Times New Roman" w:hAnsi="Times New Roman" w:cs="Times New Roman"/>
          <w:sz w:val="32"/>
          <w:szCs w:val="32"/>
        </w:rPr>
        <w:t xml:space="preserve">ICFs </w:t>
      </w:r>
      <w:r w:rsidR="008F52FB">
        <w:rPr>
          <w:rFonts w:ascii="Times New Roman" w:hAnsi="Times New Roman" w:cs="Times New Roman"/>
          <w:sz w:val="32"/>
          <w:szCs w:val="32"/>
        </w:rPr>
        <w:t xml:space="preserve">are late in </w:t>
      </w:r>
      <w:r w:rsidR="008B4AE5" w:rsidRPr="008B4AE5">
        <w:rPr>
          <w:rFonts w:ascii="Times New Roman" w:hAnsi="Times New Roman" w:cs="Times New Roman"/>
          <w:sz w:val="32"/>
          <w:szCs w:val="32"/>
        </w:rPr>
        <w:t>report</w:t>
      </w:r>
      <w:r w:rsidR="008F52FB">
        <w:rPr>
          <w:rFonts w:ascii="Times New Roman" w:hAnsi="Times New Roman" w:cs="Times New Roman"/>
          <w:sz w:val="32"/>
          <w:szCs w:val="32"/>
        </w:rPr>
        <w:t>ing</w:t>
      </w:r>
      <w:r w:rsidR="008B4AE5" w:rsidRPr="008B4AE5">
        <w:rPr>
          <w:rFonts w:ascii="Times New Roman" w:hAnsi="Times New Roman" w:cs="Times New Roman"/>
          <w:sz w:val="32"/>
          <w:szCs w:val="32"/>
        </w:rPr>
        <w:t xml:space="preserve"> FRIs, as authorized by state law.</w:t>
      </w:r>
    </w:p>
    <w:p w:rsidR="008B4AE5" w:rsidRPr="008B4AE5" w:rsidRDefault="008B4AE5" w:rsidP="008B4AE5">
      <w:pPr>
        <w:pStyle w:val="NoSpacing"/>
        <w:rPr>
          <w:rFonts w:ascii="Times New Roman" w:hAnsi="Times New Roman" w:cs="Times New Roman"/>
          <w:sz w:val="32"/>
          <w:szCs w:val="32"/>
        </w:rPr>
      </w:pPr>
    </w:p>
    <w:p w:rsidR="008B4AE5" w:rsidRDefault="00C85329" w:rsidP="008B4AE5">
      <w:pPr>
        <w:pStyle w:val="NoSpacing"/>
        <w:rPr>
          <w:rFonts w:ascii="Times New Roman" w:hAnsi="Times New Roman" w:cs="Times New Roman"/>
          <w:sz w:val="32"/>
          <w:szCs w:val="32"/>
        </w:rPr>
      </w:pPr>
      <w:r w:rsidRPr="00F0018E">
        <w:rPr>
          <w:rFonts w:ascii="Times New Roman" w:hAnsi="Times New Roman" w:cs="Times New Roman"/>
          <w:sz w:val="32"/>
          <w:szCs w:val="32"/>
        </w:rPr>
        <w:t>We recommended, too, that</w:t>
      </w:r>
      <w:r>
        <w:rPr>
          <w:rFonts w:ascii="Times New Roman" w:hAnsi="Times New Roman" w:cs="Times New Roman"/>
          <w:b/>
          <w:sz w:val="32"/>
          <w:szCs w:val="32"/>
        </w:rPr>
        <w:t xml:space="preserve"> </w:t>
      </w:r>
      <w:r w:rsidR="008B4AE5" w:rsidRPr="008B4AE5">
        <w:rPr>
          <w:rFonts w:ascii="Times New Roman" w:hAnsi="Times New Roman" w:cs="Times New Roman"/>
          <w:sz w:val="32"/>
          <w:szCs w:val="32"/>
        </w:rPr>
        <w:t xml:space="preserve">LDH work with </w:t>
      </w:r>
      <w:r>
        <w:rPr>
          <w:rFonts w:ascii="Times New Roman" w:hAnsi="Times New Roman" w:cs="Times New Roman"/>
          <w:sz w:val="32"/>
          <w:szCs w:val="32"/>
        </w:rPr>
        <w:t xml:space="preserve">the state’s </w:t>
      </w:r>
      <w:r w:rsidR="008B4AE5" w:rsidRPr="008B4AE5">
        <w:rPr>
          <w:rFonts w:ascii="Times New Roman" w:hAnsi="Times New Roman" w:cs="Times New Roman"/>
          <w:sz w:val="32"/>
          <w:szCs w:val="32"/>
        </w:rPr>
        <w:t xml:space="preserve">sheriffs’ offices to ensure user information for </w:t>
      </w:r>
      <w:r>
        <w:rPr>
          <w:rFonts w:ascii="Times New Roman" w:hAnsi="Times New Roman" w:cs="Times New Roman"/>
          <w:sz w:val="32"/>
          <w:szCs w:val="32"/>
        </w:rPr>
        <w:t xml:space="preserve">the </w:t>
      </w:r>
      <w:r w:rsidRPr="008B4AE5">
        <w:rPr>
          <w:rFonts w:ascii="Times New Roman" w:hAnsi="Times New Roman" w:cs="Times New Roman"/>
          <w:sz w:val="32"/>
          <w:szCs w:val="32"/>
        </w:rPr>
        <w:t>Statewide Incident Management System</w:t>
      </w:r>
      <w:r w:rsidR="008B4AE5" w:rsidRPr="008B4AE5">
        <w:rPr>
          <w:rFonts w:ascii="Times New Roman" w:hAnsi="Times New Roman" w:cs="Times New Roman"/>
          <w:sz w:val="32"/>
          <w:szCs w:val="32"/>
        </w:rPr>
        <w:t xml:space="preserve"> is current</w:t>
      </w:r>
      <w:r>
        <w:rPr>
          <w:rFonts w:ascii="Times New Roman" w:hAnsi="Times New Roman" w:cs="Times New Roman"/>
          <w:sz w:val="32"/>
          <w:szCs w:val="32"/>
        </w:rPr>
        <w:t xml:space="preserve"> and </w:t>
      </w:r>
      <w:r w:rsidR="008B4AE5" w:rsidRPr="008B4AE5">
        <w:rPr>
          <w:rFonts w:ascii="Times New Roman" w:hAnsi="Times New Roman" w:cs="Times New Roman"/>
          <w:sz w:val="32"/>
          <w:szCs w:val="32"/>
        </w:rPr>
        <w:t xml:space="preserve">make data on </w:t>
      </w:r>
      <w:r>
        <w:rPr>
          <w:rFonts w:ascii="Times New Roman" w:hAnsi="Times New Roman" w:cs="Times New Roman"/>
          <w:sz w:val="32"/>
          <w:szCs w:val="32"/>
        </w:rPr>
        <w:t xml:space="preserve">the </w:t>
      </w:r>
      <w:r w:rsidR="008B4AE5" w:rsidRPr="008B4AE5">
        <w:rPr>
          <w:rFonts w:ascii="Times New Roman" w:hAnsi="Times New Roman" w:cs="Times New Roman"/>
          <w:sz w:val="32"/>
          <w:szCs w:val="32"/>
        </w:rPr>
        <w:t xml:space="preserve">ICFs’ deficiencies, complaints, FRIs, and sanctions available to the public. </w:t>
      </w:r>
    </w:p>
    <w:p w:rsidR="00C85329" w:rsidRDefault="00C85329" w:rsidP="008B4AE5">
      <w:pPr>
        <w:pStyle w:val="NoSpacing"/>
        <w:rPr>
          <w:rFonts w:ascii="Times New Roman" w:hAnsi="Times New Roman" w:cs="Times New Roman"/>
          <w:sz w:val="32"/>
          <w:szCs w:val="32"/>
        </w:rPr>
      </w:pPr>
    </w:p>
    <w:p w:rsidR="00C85329" w:rsidRDefault="00C85329" w:rsidP="008B4AE5">
      <w:pPr>
        <w:pStyle w:val="NoSpacing"/>
        <w:rPr>
          <w:rFonts w:ascii="Times New Roman" w:hAnsi="Times New Roman" w:cs="Times New Roman"/>
          <w:sz w:val="32"/>
          <w:szCs w:val="32"/>
        </w:rPr>
      </w:pPr>
      <w:r>
        <w:rPr>
          <w:rFonts w:ascii="Times New Roman" w:hAnsi="Times New Roman" w:cs="Times New Roman"/>
          <w:sz w:val="32"/>
          <w:szCs w:val="32"/>
        </w:rPr>
        <w:t xml:space="preserve">Additionally, we recommended that </w:t>
      </w:r>
      <w:r w:rsidR="008B4AE5" w:rsidRPr="008B4AE5">
        <w:rPr>
          <w:rFonts w:ascii="Times New Roman" w:hAnsi="Times New Roman" w:cs="Times New Roman"/>
          <w:sz w:val="32"/>
          <w:szCs w:val="32"/>
        </w:rPr>
        <w:t>LDH modify its sanction policy to include timeframes for its process to ensure timely enforcement actions against ICFs</w:t>
      </w:r>
      <w:r>
        <w:rPr>
          <w:rFonts w:ascii="Times New Roman" w:hAnsi="Times New Roman" w:cs="Times New Roman"/>
          <w:sz w:val="32"/>
          <w:szCs w:val="32"/>
        </w:rPr>
        <w:t xml:space="preserve">. </w:t>
      </w:r>
    </w:p>
    <w:p w:rsidR="00C85329" w:rsidRDefault="00C85329" w:rsidP="008B4AE5">
      <w:pPr>
        <w:pStyle w:val="NoSpacing"/>
        <w:rPr>
          <w:rFonts w:ascii="Times New Roman" w:hAnsi="Times New Roman" w:cs="Times New Roman"/>
          <w:sz w:val="32"/>
          <w:szCs w:val="32"/>
        </w:rPr>
      </w:pPr>
    </w:p>
    <w:p w:rsidR="008B4AE5" w:rsidRPr="008B4AE5" w:rsidRDefault="00C85329" w:rsidP="008B4AE5">
      <w:pPr>
        <w:pStyle w:val="NoSpacing"/>
        <w:rPr>
          <w:rFonts w:ascii="Times New Roman" w:hAnsi="Times New Roman" w:cs="Times New Roman"/>
          <w:sz w:val="32"/>
          <w:szCs w:val="32"/>
        </w:rPr>
      </w:pPr>
      <w:r>
        <w:rPr>
          <w:rFonts w:ascii="Times New Roman" w:hAnsi="Times New Roman" w:cs="Times New Roman"/>
          <w:sz w:val="32"/>
          <w:szCs w:val="32"/>
        </w:rPr>
        <w:t xml:space="preserve">Finally, we recommended that LDH </w:t>
      </w:r>
      <w:r w:rsidR="008B4AE5" w:rsidRPr="008B4AE5">
        <w:rPr>
          <w:rFonts w:ascii="Times New Roman" w:hAnsi="Times New Roman" w:cs="Times New Roman"/>
          <w:sz w:val="32"/>
          <w:szCs w:val="32"/>
        </w:rPr>
        <w:t xml:space="preserve">use Medicaid data as another opportunity to identify noncompliant ICFs and to ensure appropriate care for ICF residents. </w:t>
      </w:r>
    </w:p>
    <w:p w:rsidR="00FC48E9" w:rsidRPr="008B4AE5" w:rsidRDefault="00FC48E9" w:rsidP="008B4AE5">
      <w:pPr>
        <w:pStyle w:val="NoSpacing"/>
        <w:rPr>
          <w:rFonts w:ascii="Times New Roman" w:hAnsi="Times New Roman" w:cs="Times New Roman"/>
          <w:sz w:val="32"/>
          <w:szCs w:val="32"/>
        </w:rPr>
      </w:pPr>
    </w:p>
    <w:p w:rsidR="00C10DA7" w:rsidRPr="00FC48E9" w:rsidRDefault="00C10DA7" w:rsidP="00FC48E9">
      <w:pPr>
        <w:pStyle w:val="NoSpacing"/>
        <w:rPr>
          <w:rFonts w:ascii="Times New Roman" w:hAnsi="Times New Roman" w:cs="Times New Roman"/>
          <w:sz w:val="32"/>
          <w:szCs w:val="32"/>
        </w:rPr>
      </w:pPr>
      <w:r w:rsidRPr="00FC48E9">
        <w:rPr>
          <w:rFonts w:ascii="Times New Roman" w:hAnsi="Times New Roman" w:cs="Times New Roman"/>
          <w:color w:val="000000" w:themeColor="text1"/>
          <w:sz w:val="32"/>
          <w:szCs w:val="32"/>
        </w:rPr>
        <w:t xml:space="preserve">As part of its response, which is included in the report as Appendix A, </w:t>
      </w:r>
      <w:r w:rsidR="009015BD" w:rsidRPr="00FC48E9">
        <w:rPr>
          <w:rFonts w:ascii="Times New Roman" w:hAnsi="Times New Roman" w:cs="Times New Roman"/>
          <w:color w:val="000000" w:themeColor="text1"/>
          <w:sz w:val="32"/>
          <w:szCs w:val="32"/>
        </w:rPr>
        <w:t>LDH</w:t>
      </w:r>
      <w:r w:rsidR="00E15AC9" w:rsidRPr="00FC48E9">
        <w:rPr>
          <w:rFonts w:ascii="Times New Roman" w:hAnsi="Times New Roman" w:cs="Times New Roman"/>
          <w:color w:val="000000" w:themeColor="text1"/>
          <w:sz w:val="32"/>
          <w:szCs w:val="32"/>
        </w:rPr>
        <w:t xml:space="preserve"> agreed with </w:t>
      </w:r>
      <w:r w:rsidR="008B4AE5">
        <w:rPr>
          <w:rFonts w:ascii="Times New Roman" w:hAnsi="Times New Roman" w:cs="Times New Roman"/>
          <w:color w:val="000000" w:themeColor="text1"/>
          <w:sz w:val="32"/>
          <w:szCs w:val="32"/>
        </w:rPr>
        <w:t>four</w:t>
      </w:r>
      <w:r w:rsidR="00E15AC9" w:rsidRPr="00FC48E9">
        <w:rPr>
          <w:rFonts w:ascii="Times New Roman" w:hAnsi="Times New Roman" w:cs="Times New Roman"/>
          <w:color w:val="000000" w:themeColor="text1"/>
          <w:sz w:val="32"/>
          <w:szCs w:val="32"/>
        </w:rPr>
        <w:t xml:space="preserve"> of the recommendations</w:t>
      </w:r>
      <w:r w:rsidR="008B4AE5">
        <w:rPr>
          <w:rFonts w:ascii="Times New Roman" w:hAnsi="Times New Roman" w:cs="Times New Roman"/>
          <w:color w:val="000000" w:themeColor="text1"/>
          <w:sz w:val="32"/>
          <w:szCs w:val="32"/>
        </w:rPr>
        <w:t xml:space="preserve">, </w:t>
      </w:r>
      <w:r w:rsidR="009015BD" w:rsidRPr="00FC48E9">
        <w:rPr>
          <w:rFonts w:ascii="Times New Roman" w:hAnsi="Times New Roman" w:cs="Times New Roman"/>
          <w:color w:val="000000" w:themeColor="text1"/>
          <w:sz w:val="32"/>
          <w:szCs w:val="32"/>
        </w:rPr>
        <w:t>disagreed</w:t>
      </w:r>
      <w:r w:rsidR="00E15AC9" w:rsidRPr="00FC48E9">
        <w:rPr>
          <w:rFonts w:ascii="Times New Roman" w:hAnsi="Times New Roman" w:cs="Times New Roman"/>
          <w:color w:val="000000" w:themeColor="text1"/>
          <w:sz w:val="32"/>
          <w:szCs w:val="32"/>
        </w:rPr>
        <w:t xml:space="preserve"> with </w:t>
      </w:r>
      <w:r w:rsidR="008B4AE5">
        <w:rPr>
          <w:rFonts w:ascii="Times New Roman" w:hAnsi="Times New Roman" w:cs="Times New Roman"/>
          <w:color w:val="000000" w:themeColor="text1"/>
          <w:sz w:val="32"/>
          <w:szCs w:val="32"/>
        </w:rPr>
        <w:t>two</w:t>
      </w:r>
      <w:r w:rsidR="00E15AC9" w:rsidRPr="00FC48E9">
        <w:rPr>
          <w:rFonts w:ascii="Times New Roman" w:hAnsi="Times New Roman" w:cs="Times New Roman"/>
          <w:color w:val="000000" w:themeColor="text1"/>
          <w:sz w:val="32"/>
          <w:szCs w:val="32"/>
        </w:rPr>
        <w:t xml:space="preserve"> of the recommendations</w:t>
      </w:r>
      <w:r w:rsidR="008B4AE5">
        <w:rPr>
          <w:rFonts w:ascii="Times New Roman" w:hAnsi="Times New Roman" w:cs="Times New Roman"/>
          <w:color w:val="000000" w:themeColor="text1"/>
          <w:sz w:val="32"/>
          <w:szCs w:val="32"/>
        </w:rPr>
        <w:t>, and neither agreed nor disagreed with two of the recommendations</w:t>
      </w:r>
      <w:r w:rsidR="00E15AC9" w:rsidRPr="00FC48E9">
        <w:rPr>
          <w:rFonts w:ascii="Times New Roman" w:hAnsi="Times New Roman" w:cs="Times New Roman"/>
          <w:color w:val="000000" w:themeColor="text1"/>
          <w:sz w:val="32"/>
          <w:szCs w:val="32"/>
        </w:rPr>
        <w:t>.</w:t>
      </w:r>
      <w:r w:rsidR="00E524D4" w:rsidRPr="00FC48E9">
        <w:rPr>
          <w:rFonts w:ascii="Times New Roman" w:hAnsi="Times New Roman" w:cs="Times New Roman"/>
          <w:sz w:val="32"/>
          <w:szCs w:val="32"/>
        </w:rPr>
        <w:t xml:space="preserve"> </w:t>
      </w:r>
    </w:p>
    <w:p w:rsidR="00BD030E" w:rsidRPr="00FC48E9" w:rsidRDefault="00BD030E" w:rsidP="00FC48E9">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lastRenderedPageBreak/>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75D" w:rsidRDefault="00AF075D" w:rsidP="00806EE3">
      <w:r>
        <w:separator/>
      </w:r>
    </w:p>
  </w:endnote>
  <w:endnote w:type="continuationSeparator" w:id="0">
    <w:p w:rsidR="00AF075D" w:rsidRDefault="00AF075D"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75D" w:rsidRDefault="00AF075D" w:rsidP="00806EE3">
      <w:r>
        <w:separator/>
      </w:r>
    </w:p>
  </w:footnote>
  <w:footnote w:type="continuationSeparator" w:id="0">
    <w:p w:rsidR="00AF075D" w:rsidRDefault="00AF075D"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12C0"/>
    <w:rsid w:val="00002E3F"/>
    <w:rsid w:val="000310DA"/>
    <w:rsid w:val="000557F8"/>
    <w:rsid w:val="0005689B"/>
    <w:rsid w:val="00075716"/>
    <w:rsid w:val="000767E5"/>
    <w:rsid w:val="00084CA3"/>
    <w:rsid w:val="000971DC"/>
    <w:rsid w:val="000A05D8"/>
    <w:rsid w:val="000A5A73"/>
    <w:rsid w:val="000C6C2A"/>
    <w:rsid w:val="000C73AD"/>
    <w:rsid w:val="000E7E3D"/>
    <w:rsid w:val="000F4913"/>
    <w:rsid w:val="001203D6"/>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4576"/>
    <w:rsid w:val="002239CA"/>
    <w:rsid w:val="00254029"/>
    <w:rsid w:val="00276113"/>
    <w:rsid w:val="00284964"/>
    <w:rsid w:val="002859FB"/>
    <w:rsid w:val="002A4115"/>
    <w:rsid w:val="002C7EF3"/>
    <w:rsid w:val="002D3303"/>
    <w:rsid w:val="002E70FD"/>
    <w:rsid w:val="0031067C"/>
    <w:rsid w:val="00314223"/>
    <w:rsid w:val="0031438C"/>
    <w:rsid w:val="00314A58"/>
    <w:rsid w:val="00327B71"/>
    <w:rsid w:val="00327D1E"/>
    <w:rsid w:val="003356A0"/>
    <w:rsid w:val="00355447"/>
    <w:rsid w:val="0036122A"/>
    <w:rsid w:val="00364903"/>
    <w:rsid w:val="00367130"/>
    <w:rsid w:val="003675AA"/>
    <w:rsid w:val="00372282"/>
    <w:rsid w:val="00377656"/>
    <w:rsid w:val="003968B8"/>
    <w:rsid w:val="003C0DDA"/>
    <w:rsid w:val="003C2B14"/>
    <w:rsid w:val="003D5350"/>
    <w:rsid w:val="003E76D9"/>
    <w:rsid w:val="003F24E0"/>
    <w:rsid w:val="003F6E8F"/>
    <w:rsid w:val="004124BF"/>
    <w:rsid w:val="004234E7"/>
    <w:rsid w:val="00426B74"/>
    <w:rsid w:val="00432217"/>
    <w:rsid w:val="004343BD"/>
    <w:rsid w:val="004364FE"/>
    <w:rsid w:val="004376B9"/>
    <w:rsid w:val="0044066A"/>
    <w:rsid w:val="00444E16"/>
    <w:rsid w:val="0045320F"/>
    <w:rsid w:val="00454DDF"/>
    <w:rsid w:val="00455C28"/>
    <w:rsid w:val="0046266F"/>
    <w:rsid w:val="00462FDE"/>
    <w:rsid w:val="00465FCD"/>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5014FA"/>
    <w:rsid w:val="005040FC"/>
    <w:rsid w:val="0051486A"/>
    <w:rsid w:val="00523014"/>
    <w:rsid w:val="00560C52"/>
    <w:rsid w:val="00574EC4"/>
    <w:rsid w:val="005B7AC4"/>
    <w:rsid w:val="005D4909"/>
    <w:rsid w:val="005D51B7"/>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6A16"/>
    <w:rsid w:val="0077174D"/>
    <w:rsid w:val="00786FB2"/>
    <w:rsid w:val="007950D8"/>
    <w:rsid w:val="00795878"/>
    <w:rsid w:val="007A54F5"/>
    <w:rsid w:val="007B01E1"/>
    <w:rsid w:val="007B0804"/>
    <w:rsid w:val="007C0D80"/>
    <w:rsid w:val="007C4B9B"/>
    <w:rsid w:val="007C5558"/>
    <w:rsid w:val="007C6244"/>
    <w:rsid w:val="007E13C3"/>
    <w:rsid w:val="007E41F0"/>
    <w:rsid w:val="007F12A1"/>
    <w:rsid w:val="007F6466"/>
    <w:rsid w:val="008002E9"/>
    <w:rsid w:val="00804349"/>
    <w:rsid w:val="00806EE3"/>
    <w:rsid w:val="008102F5"/>
    <w:rsid w:val="008221FF"/>
    <w:rsid w:val="00825F61"/>
    <w:rsid w:val="00827F6D"/>
    <w:rsid w:val="00827FEB"/>
    <w:rsid w:val="008322D8"/>
    <w:rsid w:val="0083500E"/>
    <w:rsid w:val="00846CC1"/>
    <w:rsid w:val="00853843"/>
    <w:rsid w:val="00864574"/>
    <w:rsid w:val="008679ED"/>
    <w:rsid w:val="00867EA1"/>
    <w:rsid w:val="0087427B"/>
    <w:rsid w:val="008A1038"/>
    <w:rsid w:val="008B4AE5"/>
    <w:rsid w:val="008B54C9"/>
    <w:rsid w:val="008D44FB"/>
    <w:rsid w:val="008D4DE7"/>
    <w:rsid w:val="008D6F0D"/>
    <w:rsid w:val="008E0B65"/>
    <w:rsid w:val="008E2EEA"/>
    <w:rsid w:val="008F0805"/>
    <w:rsid w:val="008F52FB"/>
    <w:rsid w:val="008F7825"/>
    <w:rsid w:val="00900B10"/>
    <w:rsid w:val="009015BD"/>
    <w:rsid w:val="009128B5"/>
    <w:rsid w:val="009143CD"/>
    <w:rsid w:val="00921D0F"/>
    <w:rsid w:val="00923BF7"/>
    <w:rsid w:val="00935605"/>
    <w:rsid w:val="0094011E"/>
    <w:rsid w:val="009552F9"/>
    <w:rsid w:val="00956AFD"/>
    <w:rsid w:val="009577EE"/>
    <w:rsid w:val="00960723"/>
    <w:rsid w:val="00960973"/>
    <w:rsid w:val="00963D3F"/>
    <w:rsid w:val="00970196"/>
    <w:rsid w:val="009776D8"/>
    <w:rsid w:val="00980519"/>
    <w:rsid w:val="009A0920"/>
    <w:rsid w:val="009A748C"/>
    <w:rsid w:val="009B2EFE"/>
    <w:rsid w:val="009B3E82"/>
    <w:rsid w:val="009B6775"/>
    <w:rsid w:val="009E38B2"/>
    <w:rsid w:val="00A04F1D"/>
    <w:rsid w:val="00A209F4"/>
    <w:rsid w:val="00A24DF4"/>
    <w:rsid w:val="00A529F4"/>
    <w:rsid w:val="00A5682B"/>
    <w:rsid w:val="00A63633"/>
    <w:rsid w:val="00A90F10"/>
    <w:rsid w:val="00AA10F6"/>
    <w:rsid w:val="00AB1CDE"/>
    <w:rsid w:val="00AC29C7"/>
    <w:rsid w:val="00AD1AE7"/>
    <w:rsid w:val="00AD60DD"/>
    <w:rsid w:val="00AD7A62"/>
    <w:rsid w:val="00AE5D1F"/>
    <w:rsid w:val="00AE68CD"/>
    <w:rsid w:val="00AF075D"/>
    <w:rsid w:val="00AF4543"/>
    <w:rsid w:val="00B01D01"/>
    <w:rsid w:val="00B04ECA"/>
    <w:rsid w:val="00B30335"/>
    <w:rsid w:val="00B32B4C"/>
    <w:rsid w:val="00B36FFF"/>
    <w:rsid w:val="00B37D05"/>
    <w:rsid w:val="00B41D95"/>
    <w:rsid w:val="00B46415"/>
    <w:rsid w:val="00B51FAE"/>
    <w:rsid w:val="00B6105C"/>
    <w:rsid w:val="00B62B88"/>
    <w:rsid w:val="00B66F54"/>
    <w:rsid w:val="00B75920"/>
    <w:rsid w:val="00B76129"/>
    <w:rsid w:val="00B818FC"/>
    <w:rsid w:val="00B8697D"/>
    <w:rsid w:val="00B942A5"/>
    <w:rsid w:val="00BB483D"/>
    <w:rsid w:val="00BB66D5"/>
    <w:rsid w:val="00BC6C29"/>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5329"/>
    <w:rsid w:val="00C86164"/>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7E58"/>
    <w:rsid w:val="00D52BB6"/>
    <w:rsid w:val="00D56374"/>
    <w:rsid w:val="00D6513B"/>
    <w:rsid w:val="00D71F7F"/>
    <w:rsid w:val="00D74B62"/>
    <w:rsid w:val="00D768FF"/>
    <w:rsid w:val="00D77046"/>
    <w:rsid w:val="00D8671F"/>
    <w:rsid w:val="00D93922"/>
    <w:rsid w:val="00D9720B"/>
    <w:rsid w:val="00DC74C9"/>
    <w:rsid w:val="00DD2282"/>
    <w:rsid w:val="00DD6D31"/>
    <w:rsid w:val="00DE014C"/>
    <w:rsid w:val="00DE0B73"/>
    <w:rsid w:val="00DE3E10"/>
    <w:rsid w:val="00DE7F1C"/>
    <w:rsid w:val="00DF3C37"/>
    <w:rsid w:val="00E02D0D"/>
    <w:rsid w:val="00E04D3E"/>
    <w:rsid w:val="00E15AC9"/>
    <w:rsid w:val="00E2076D"/>
    <w:rsid w:val="00E22A8E"/>
    <w:rsid w:val="00E332CC"/>
    <w:rsid w:val="00E34B1B"/>
    <w:rsid w:val="00E43133"/>
    <w:rsid w:val="00E43C3B"/>
    <w:rsid w:val="00E43E1D"/>
    <w:rsid w:val="00E5080E"/>
    <w:rsid w:val="00E524D4"/>
    <w:rsid w:val="00E72990"/>
    <w:rsid w:val="00E76B77"/>
    <w:rsid w:val="00E77A9C"/>
    <w:rsid w:val="00E87D02"/>
    <w:rsid w:val="00E908A5"/>
    <w:rsid w:val="00E97414"/>
    <w:rsid w:val="00EB3302"/>
    <w:rsid w:val="00EC7C26"/>
    <w:rsid w:val="00EE270E"/>
    <w:rsid w:val="00EF6412"/>
    <w:rsid w:val="00EF7A72"/>
    <w:rsid w:val="00F0018E"/>
    <w:rsid w:val="00F30BB9"/>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82866-2D42-47B5-8648-8A4BAFBE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2024-07-17T17:11:00Z</cp:lastPrinted>
  <dcterms:created xsi:type="dcterms:W3CDTF">2024-07-17T17:51:00Z</dcterms:created>
  <dcterms:modified xsi:type="dcterms:W3CDTF">2024-07-17T18:04:00Z</dcterms:modified>
</cp:coreProperties>
</file>