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E9" w:rsidRDefault="008002E9" w:rsidP="008002E9">
      <w:pPr>
        <w:pStyle w:val="NoSpacing"/>
        <w:rPr>
          <w:rFonts w:ascii="Times New Roman" w:hAnsi="Times New Roman" w:cs="Times New Roman"/>
          <w:i/>
          <w:sz w:val="32"/>
          <w:szCs w:val="32"/>
        </w:rPr>
      </w:pPr>
      <w:r>
        <w:rPr>
          <w:rFonts w:ascii="Times New Roman" w:hAnsi="Times New Roman" w:cs="Times New Roman"/>
          <w:i/>
          <w:sz w:val="32"/>
          <w:szCs w:val="32"/>
        </w:rPr>
        <w:t xml:space="preserve">Welcome to LLA Reports, a podcast produced by the Louisiana Legislative Auditor’s office. This podcast is intended to be an oral representation of the written report it highlights and is primarily for the use of the Louisiana Legislature. </w:t>
      </w:r>
    </w:p>
    <w:p w:rsidR="008002E9" w:rsidRPr="00192D0C" w:rsidRDefault="008002E9" w:rsidP="00192D0C">
      <w:pPr>
        <w:pStyle w:val="NoSpacing"/>
        <w:rPr>
          <w:rFonts w:ascii="Times New Roman" w:hAnsi="Times New Roman" w:cs="Times New Roman"/>
          <w:sz w:val="32"/>
          <w:szCs w:val="32"/>
        </w:rPr>
      </w:pPr>
    </w:p>
    <w:p w:rsidR="00F27927" w:rsidRDefault="008002E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This is </w:t>
      </w:r>
      <w:r w:rsidR="00EA452E">
        <w:rPr>
          <w:rFonts w:ascii="Times New Roman" w:hAnsi="Times New Roman" w:cs="Times New Roman"/>
          <w:sz w:val="32"/>
          <w:szCs w:val="32"/>
        </w:rPr>
        <w:t>Gina Brown</w:t>
      </w:r>
      <w:r w:rsidRPr="007E5630">
        <w:rPr>
          <w:rFonts w:ascii="Times New Roman" w:hAnsi="Times New Roman" w:cs="Times New Roman"/>
          <w:sz w:val="32"/>
          <w:szCs w:val="32"/>
        </w:rPr>
        <w:t xml:space="preserve">. I’m </w:t>
      </w:r>
      <w:r w:rsidR="003155A3" w:rsidRPr="007E5630">
        <w:rPr>
          <w:rFonts w:ascii="Times New Roman" w:hAnsi="Times New Roman" w:cs="Times New Roman"/>
          <w:sz w:val="32"/>
          <w:szCs w:val="32"/>
        </w:rPr>
        <w:t>a</w:t>
      </w:r>
      <w:r w:rsidR="00192D0C" w:rsidRPr="007E5630">
        <w:rPr>
          <w:rFonts w:ascii="Times New Roman" w:hAnsi="Times New Roman" w:cs="Times New Roman"/>
          <w:sz w:val="32"/>
          <w:szCs w:val="32"/>
        </w:rPr>
        <w:t xml:space="preserve"> </w:t>
      </w:r>
      <w:r w:rsidR="00CA2CA9" w:rsidRPr="007E5630">
        <w:rPr>
          <w:rFonts w:ascii="Times New Roman" w:hAnsi="Times New Roman" w:cs="Times New Roman"/>
          <w:sz w:val="32"/>
          <w:szCs w:val="32"/>
        </w:rPr>
        <w:t>manager</w:t>
      </w:r>
      <w:r w:rsidR="001B66C5" w:rsidRPr="007E5630">
        <w:rPr>
          <w:rFonts w:ascii="Times New Roman" w:hAnsi="Times New Roman" w:cs="Times New Roman"/>
          <w:sz w:val="32"/>
          <w:szCs w:val="32"/>
        </w:rPr>
        <w:t xml:space="preserve"> for</w:t>
      </w:r>
      <w:r w:rsidRPr="007E5630">
        <w:rPr>
          <w:rFonts w:ascii="Times New Roman" w:hAnsi="Times New Roman" w:cs="Times New Roman"/>
          <w:sz w:val="32"/>
          <w:szCs w:val="32"/>
        </w:rPr>
        <w:t xml:space="preserve"> LLA</w:t>
      </w:r>
      <w:r w:rsidR="001B66C5" w:rsidRPr="007E5630">
        <w:rPr>
          <w:rFonts w:ascii="Times New Roman" w:hAnsi="Times New Roman" w:cs="Times New Roman"/>
          <w:sz w:val="32"/>
          <w:szCs w:val="32"/>
        </w:rPr>
        <w:t>’s</w:t>
      </w:r>
      <w:r w:rsidR="00BB483D" w:rsidRPr="007E5630">
        <w:rPr>
          <w:rFonts w:ascii="Times New Roman" w:hAnsi="Times New Roman" w:cs="Times New Roman"/>
          <w:sz w:val="32"/>
          <w:szCs w:val="32"/>
        </w:rPr>
        <w:t xml:space="preserve"> </w:t>
      </w:r>
      <w:r w:rsidR="00923BF7" w:rsidRPr="007E5630">
        <w:rPr>
          <w:rFonts w:ascii="Times New Roman" w:hAnsi="Times New Roman" w:cs="Times New Roman"/>
          <w:sz w:val="32"/>
          <w:szCs w:val="32"/>
        </w:rPr>
        <w:t>Performance Audit Services</w:t>
      </w:r>
      <w:r w:rsidRPr="007E5630">
        <w:rPr>
          <w:rFonts w:ascii="Times New Roman" w:hAnsi="Times New Roman" w:cs="Times New Roman"/>
          <w:sz w:val="32"/>
          <w:szCs w:val="32"/>
        </w:rPr>
        <w:t xml:space="preserve">. This episode of LLA Reports </w:t>
      </w:r>
      <w:r w:rsidR="00535B79">
        <w:rPr>
          <w:rFonts w:ascii="Times New Roman" w:hAnsi="Times New Roman" w:cs="Times New Roman"/>
          <w:sz w:val="32"/>
          <w:szCs w:val="32"/>
        </w:rPr>
        <w:t>summarizes the findings of</w:t>
      </w:r>
      <w:r w:rsidRPr="007E5630">
        <w:rPr>
          <w:rFonts w:ascii="Times New Roman" w:hAnsi="Times New Roman" w:cs="Times New Roman"/>
          <w:sz w:val="32"/>
          <w:szCs w:val="32"/>
        </w:rPr>
        <w:t xml:space="preserve"> </w:t>
      </w:r>
      <w:r w:rsidR="00F27927">
        <w:rPr>
          <w:rFonts w:ascii="Times New Roman" w:hAnsi="Times New Roman" w:cs="Times New Roman"/>
          <w:sz w:val="32"/>
          <w:szCs w:val="32"/>
        </w:rPr>
        <w:t xml:space="preserve">two </w:t>
      </w:r>
      <w:r w:rsidR="00535B79">
        <w:rPr>
          <w:rFonts w:ascii="Times New Roman" w:hAnsi="Times New Roman" w:cs="Times New Roman"/>
          <w:sz w:val="32"/>
          <w:szCs w:val="32"/>
        </w:rPr>
        <w:t>new</w:t>
      </w:r>
      <w:r w:rsidR="00F27927">
        <w:rPr>
          <w:rFonts w:ascii="Times New Roman" w:hAnsi="Times New Roman" w:cs="Times New Roman"/>
          <w:sz w:val="32"/>
          <w:szCs w:val="32"/>
        </w:rPr>
        <w:t xml:space="preserve"> </w:t>
      </w:r>
      <w:r w:rsidR="00535B79">
        <w:rPr>
          <w:rFonts w:ascii="Times New Roman" w:hAnsi="Times New Roman" w:cs="Times New Roman"/>
          <w:sz w:val="32"/>
          <w:szCs w:val="32"/>
        </w:rPr>
        <w:t xml:space="preserve">performance audit </w:t>
      </w:r>
      <w:r w:rsidR="00F27927">
        <w:rPr>
          <w:rFonts w:ascii="Times New Roman" w:hAnsi="Times New Roman" w:cs="Times New Roman"/>
          <w:sz w:val="32"/>
          <w:szCs w:val="32"/>
        </w:rPr>
        <w:t>reports focused on Louisiana’s orphaned oil and gas well</w:t>
      </w:r>
      <w:r w:rsidR="002D2D2C">
        <w:rPr>
          <w:rFonts w:ascii="Times New Roman" w:hAnsi="Times New Roman" w:cs="Times New Roman"/>
          <w:sz w:val="32"/>
          <w:szCs w:val="32"/>
        </w:rPr>
        <w:t>s</w:t>
      </w:r>
      <w:r w:rsidR="00F27927">
        <w:rPr>
          <w:rFonts w:ascii="Times New Roman" w:hAnsi="Times New Roman" w:cs="Times New Roman"/>
          <w:sz w:val="32"/>
          <w:szCs w:val="32"/>
        </w:rPr>
        <w:t>.</w:t>
      </w:r>
    </w:p>
    <w:p w:rsidR="00F27927" w:rsidRPr="00535B79" w:rsidRDefault="00F27927" w:rsidP="00535B79">
      <w:pPr>
        <w:pStyle w:val="NoSpacing"/>
        <w:rPr>
          <w:rFonts w:ascii="Times New Roman" w:hAnsi="Times New Roman" w:cs="Times New Roman"/>
          <w:sz w:val="32"/>
          <w:szCs w:val="32"/>
        </w:rPr>
      </w:pPr>
    </w:p>
    <w:p w:rsidR="00EA452E" w:rsidRPr="00535B79" w:rsidRDefault="00535B79" w:rsidP="00535B79">
      <w:pPr>
        <w:pStyle w:val="NoSpacing"/>
        <w:rPr>
          <w:rFonts w:ascii="Times New Roman" w:hAnsi="Times New Roman" w:cs="Times New Roman"/>
          <w:sz w:val="32"/>
          <w:szCs w:val="32"/>
        </w:rPr>
      </w:pPr>
      <w:r>
        <w:rPr>
          <w:rFonts w:ascii="Times New Roman" w:hAnsi="Times New Roman" w:cs="Times New Roman"/>
          <w:sz w:val="32"/>
          <w:szCs w:val="32"/>
        </w:rPr>
        <w:t xml:space="preserve">In the </w:t>
      </w:r>
      <w:r w:rsidRPr="00535B79">
        <w:rPr>
          <w:rFonts w:ascii="Times New Roman" w:hAnsi="Times New Roman" w:cs="Times New Roman"/>
          <w:sz w:val="32"/>
          <w:szCs w:val="32"/>
        </w:rPr>
        <w:t xml:space="preserve">first </w:t>
      </w:r>
      <w:r w:rsidR="008002E9" w:rsidRPr="00535B79">
        <w:rPr>
          <w:rFonts w:ascii="Times New Roman" w:hAnsi="Times New Roman" w:cs="Times New Roman"/>
          <w:sz w:val="32"/>
          <w:szCs w:val="32"/>
        </w:rPr>
        <w:t xml:space="preserve">report </w:t>
      </w:r>
      <w:r w:rsidRPr="00535B79">
        <w:rPr>
          <w:rFonts w:ascii="Times New Roman" w:hAnsi="Times New Roman" w:cs="Times New Roman"/>
          <w:sz w:val="32"/>
          <w:szCs w:val="32"/>
        </w:rPr>
        <w:t xml:space="preserve">– </w:t>
      </w:r>
      <w:r w:rsidR="008002E9" w:rsidRPr="00535B79">
        <w:rPr>
          <w:rFonts w:ascii="Times New Roman" w:hAnsi="Times New Roman" w:cs="Times New Roman"/>
          <w:sz w:val="32"/>
          <w:szCs w:val="32"/>
        </w:rPr>
        <w:t>titled “</w:t>
      </w:r>
      <w:r w:rsidR="00EA452E" w:rsidRPr="00535B79">
        <w:rPr>
          <w:rFonts w:ascii="Times New Roman" w:hAnsi="Times New Roman" w:cs="Times New Roman"/>
          <w:sz w:val="32"/>
          <w:szCs w:val="32"/>
        </w:rPr>
        <w:t>Progress Report: State Efforts to Address Orphaned Oil and Gas Wells</w:t>
      </w:r>
      <w:r w:rsidR="008002E9" w:rsidRPr="00535B79">
        <w:rPr>
          <w:rFonts w:ascii="Times New Roman" w:hAnsi="Times New Roman" w:cs="Times New Roman"/>
          <w:sz w:val="32"/>
          <w:szCs w:val="32"/>
        </w:rPr>
        <w:t>”</w:t>
      </w:r>
      <w:r w:rsidRPr="00535B79">
        <w:rPr>
          <w:rFonts w:ascii="Times New Roman" w:hAnsi="Times New Roman" w:cs="Times New Roman"/>
          <w:sz w:val="32"/>
          <w:szCs w:val="32"/>
        </w:rPr>
        <w:t xml:space="preserve"> – </w:t>
      </w:r>
      <w:r>
        <w:rPr>
          <w:rFonts w:ascii="Times New Roman" w:hAnsi="Times New Roman" w:cs="Times New Roman"/>
          <w:sz w:val="32"/>
          <w:szCs w:val="32"/>
        </w:rPr>
        <w:t>we evaluated</w:t>
      </w:r>
      <w:r w:rsidR="00EA452E" w:rsidRPr="00535B79">
        <w:rPr>
          <w:rFonts w:ascii="Times New Roman" w:hAnsi="Times New Roman" w:cs="Times New Roman"/>
          <w:sz w:val="32"/>
          <w:szCs w:val="32"/>
        </w:rPr>
        <w:t xml:space="preserve"> the Office of Conservation’s progress in addressing issues identified in two previous audits that focused on the regulation of oil and gas wells and the management of orphaned wells.</w:t>
      </w:r>
    </w:p>
    <w:p w:rsidR="00535B79" w:rsidRPr="00535B79" w:rsidRDefault="00535B79" w:rsidP="00535B79">
      <w:pPr>
        <w:pStyle w:val="NoSpacing"/>
        <w:rPr>
          <w:rFonts w:ascii="Times New Roman" w:hAnsi="Times New Roman" w:cs="Times New Roman"/>
          <w:sz w:val="32"/>
          <w:szCs w:val="32"/>
        </w:rPr>
      </w:pPr>
    </w:p>
    <w:p w:rsidR="00535B79" w:rsidRDefault="00535B79" w:rsidP="00535B79">
      <w:pPr>
        <w:pStyle w:val="NoSpacing"/>
        <w:rPr>
          <w:rFonts w:ascii="Times New Roman" w:hAnsi="Times New Roman" w:cs="Times New Roman"/>
          <w:sz w:val="32"/>
          <w:szCs w:val="32"/>
        </w:rPr>
      </w:pPr>
      <w:r>
        <w:rPr>
          <w:rFonts w:ascii="Times New Roman" w:hAnsi="Times New Roman" w:cs="Times New Roman"/>
          <w:sz w:val="32"/>
          <w:szCs w:val="32"/>
        </w:rPr>
        <w:t xml:space="preserve">In the </w:t>
      </w:r>
      <w:r w:rsidRPr="00535B79">
        <w:rPr>
          <w:rFonts w:ascii="Times New Roman" w:hAnsi="Times New Roman" w:cs="Times New Roman"/>
          <w:sz w:val="32"/>
          <w:szCs w:val="32"/>
        </w:rPr>
        <w:t xml:space="preserve">second report – titled “Oversight of the Louisiana Oilfield Restoration Association’s Efforts to Address Orphaned Oil and Gas Wells” – </w:t>
      </w:r>
      <w:r>
        <w:rPr>
          <w:rFonts w:ascii="Times New Roman" w:hAnsi="Times New Roman" w:cs="Times New Roman"/>
          <w:sz w:val="32"/>
          <w:szCs w:val="32"/>
        </w:rPr>
        <w:t>we evaluated</w:t>
      </w:r>
      <w:r w:rsidRPr="00535B79">
        <w:rPr>
          <w:rFonts w:ascii="Times New Roman" w:hAnsi="Times New Roman" w:cs="Times New Roman"/>
          <w:sz w:val="32"/>
          <w:szCs w:val="32"/>
        </w:rPr>
        <w:t xml:space="preserve"> the Office of Conservation’s oversight of the Louisiana Oilfield Restoration Association – or LORA </w:t>
      </w:r>
      <w:r>
        <w:rPr>
          <w:rFonts w:ascii="Times New Roman" w:hAnsi="Times New Roman" w:cs="Times New Roman"/>
          <w:sz w:val="32"/>
          <w:szCs w:val="32"/>
        </w:rPr>
        <w:t xml:space="preserve">– and </w:t>
      </w:r>
      <w:r w:rsidRPr="00535B79">
        <w:rPr>
          <w:rFonts w:ascii="Times New Roman" w:hAnsi="Times New Roman" w:cs="Times New Roman"/>
          <w:sz w:val="32"/>
          <w:szCs w:val="32"/>
        </w:rPr>
        <w:t>its efforts to provide affordable financial security and assistance with plugging orphaned wells.</w:t>
      </w:r>
    </w:p>
    <w:p w:rsidR="00535B79" w:rsidRDefault="00535B79" w:rsidP="00535B79">
      <w:pPr>
        <w:pStyle w:val="NoSpacing"/>
        <w:rPr>
          <w:rFonts w:ascii="Times New Roman" w:hAnsi="Times New Roman" w:cs="Times New Roman"/>
          <w:sz w:val="32"/>
          <w:szCs w:val="32"/>
        </w:rPr>
      </w:pPr>
    </w:p>
    <w:p w:rsidR="00535B79" w:rsidRPr="00535B79" w:rsidRDefault="00535B79" w:rsidP="00535B79">
      <w:pPr>
        <w:pStyle w:val="NoSpacing"/>
        <w:rPr>
          <w:rFonts w:ascii="Times New Roman" w:hAnsi="Times New Roman" w:cs="Times New Roman"/>
          <w:sz w:val="32"/>
          <w:szCs w:val="32"/>
        </w:rPr>
      </w:pPr>
      <w:r>
        <w:rPr>
          <w:rFonts w:ascii="Times New Roman" w:hAnsi="Times New Roman" w:cs="Times New Roman"/>
          <w:sz w:val="32"/>
          <w:szCs w:val="32"/>
        </w:rPr>
        <w:t>The Office of Conservation – or OC – is housed with the Louisiana Department of Energy and Natural Resources – or DENR.</w:t>
      </w:r>
    </w:p>
    <w:p w:rsidR="00EA452E" w:rsidRPr="00535B79" w:rsidRDefault="00EA452E" w:rsidP="00535B79">
      <w:pPr>
        <w:pStyle w:val="NoSpacing"/>
        <w:rPr>
          <w:rFonts w:ascii="Times New Roman" w:hAnsi="Times New Roman" w:cs="Times New Roman"/>
          <w:sz w:val="32"/>
          <w:szCs w:val="32"/>
        </w:rPr>
      </w:pPr>
    </w:p>
    <w:p w:rsidR="00EA452E" w:rsidRPr="00535B79" w:rsidRDefault="00535B79" w:rsidP="00535B79">
      <w:pPr>
        <w:pStyle w:val="NoSpacing"/>
        <w:rPr>
          <w:rFonts w:ascii="Times New Roman" w:hAnsi="Times New Roman" w:cs="Times New Roman"/>
          <w:sz w:val="32"/>
          <w:szCs w:val="32"/>
        </w:rPr>
      </w:pPr>
      <w:bookmarkStart w:id="0" w:name="_Hlk179776766"/>
      <w:r>
        <w:rPr>
          <w:rFonts w:ascii="Times New Roman" w:hAnsi="Times New Roman" w:cs="Times New Roman"/>
          <w:sz w:val="32"/>
          <w:szCs w:val="32"/>
        </w:rPr>
        <w:t xml:space="preserve">In </w:t>
      </w:r>
      <w:r w:rsidR="00A9201E">
        <w:rPr>
          <w:rFonts w:ascii="Times New Roman" w:hAnsi="Times New Roman" w:cs="Times New Roman"/>
          <w:sz w:val="32"/>
          <w:szCs w:val="32"/>
        </w:rPr>
        <w:t>our</w:t>
      </w:r>
      <w:r>
        <w:rPr>
          <w:rFonts w:ascii="Times New Roman" w:hAnsi="Times New Roman" w:cs="Times New Roman"/>
          <w:sz w:val="32"/>
          <w:szCs w:val="32"/>
        </w:rPr>
        <w:t xml:space="preserve"> first report, w</w:t>
      </w:r>
      <w:r w:rsidR="00EA452E" w:rsidRPr="00535B79">
        <w:rPr>
          <w:rFonts w:ascii="Times New Roman" w:hAnsi="Times New Roman" w:cs="Times New Roman"/>
          <w:sz w:val="32"/>
          <w:szCs w:val="32"/>
        </w:rPr>
        <w:t xml:space="preserve">e found that while more oil and gas wells </w:t>
      </w:r>
      <w:r w:rsidR="00946121">
        <w:rPr>
          <w:rFonts w:ascii="Times New Roman" w:hAnsi="Times New Roman" w:cs="Times New Roman"/>
          <w:sz w:val="32"/>
          <w:szCs w:val="32"/>
        </w:rPr>
        <w:t>were</w:t>
      </w:r>
      <w:r w:rsidR="00EA452E" w:rsidRPr="00535B79">
        <w:rPr>
          <w:rFonts w:ascii="Times New Roman" w:hAnsi="Times New Roman" w:cs="Times New Roman"/>
          <w:sz w:val="32"/>
          <w:szCs w:val="32"/>
        </w:rPr>
        <w:t xml:space="preserve"> covered by financial security </w:t>
      </w:r>
      <w:r w:rsidR="00946121">
        <w:rPr>
          <w:rFonts w:ascii="Times New Roman" w:hAnsi="Times New Roman" w:cs="Times New Roman"/>
          <w:sz w:val="32"/>
          <w:szCs w:val="32"/>
        </w:rPr>
        <w:t>after</w:t>
      </w:r>
      <w:r w:rsidR="00EA452E" w:rsidRPr="00535B79">
        <w:rPr>
          <w:rFonts w:ascii="Times New Roman" w:hAnsi="Times New Roman" w:cs="Times New Roman"/>
          <w:sz w:val="32"/>
          <w:szCs w:val="32"/>
        </w:rPr>
        <w:t xml:space="preserve"> OC removed most exemptions, the financial security amounts </w:t>
      </w:r>
      <w:r w:rsidR="00946121">
        <w:rPr>
          <w:rFonts w:ascii="Times New Roman" w:hAnsi="Times New Roman" w:cs="Times New Roman"/>
          <w:sz w:val="32"/>
          <w:szCs w:val="32"/>
        </w:rPr>
        <w:t>we</w:t>
      </w:r>
      <w:r w:rsidR="00EA452E" w:rsidRPr="00535B79">
        <w:rPr>
          <w:rFonts w:ascii="Times New Roman" w:hAnsi="Times New Roman" w:cs="Times New Roman"/>
          <w:sz w:val="32"/>
          <w:szCs w:val="32"/>
        </w:rPr>
        <w:t xml:space="preserve">re still not enough to cover the cost of plugging orphaned wells. </w:t>
      </w:r>
    </w:p>
    <w:p w:rsidR="00EA452E" w:rsidRPr="00535B79" w:rsidRDefault="00EA452E" w:rsidP="00535B79">
      <w:pPr>
        <w:pStyle w:val="NoSpacing"/>
        <w:rPr>
          <w:rFonts w:ascii="Times New Roman" w:hAnsi="Times New Roman" w:cs="Times New Roman"/>
          <w:sz w:val="32"/>
          <w:szCs w:val="32"/>
        </w:rPr>
      </w:pPr>
    </w:p>
    <w:p w:rsidR="00EA452E" w:rsidRPr="00535B79" w:rsidRDefault="00EA452E" w:rsidP="00535B79">
      <w:pPr>
        <w:pStyle w:val="NoSpacing"/>
        <w:rPr>
          <w:rFonts w:ascii="Times New Roman" w:hAnsi="Times New Roman" w:cs="Times New Roman"/>
          <w:sz w:val="32"/>
          <w:szCs w:val="32"/>
        </w:rPr>
      </w:pPr>
      <w:r w:rsidRPr="00535B79">
        <w:rPr>
          <w:rFonts w:ascii="Times New Roman" w:hAnsi="Times New Roman" w:cs="Times New Roman"/>
          <w:sz w:val="32"/>
          <w:szCs w:val="32"/>
        </w:rPr>
        <w:t xml:space="preserve">We also found that </w:t>
      </w:r>
      <w:r w:rsidR="00946121">
        <w:rPr>
          <w:rFonts w:ascii="Times New Roman" w:hAnsi="Times New Roman" w:cs="Times New Roman"/>
          <w:sz w:val="32"/>
          <w:szCs w:val="32"/>
        </w:rPr>
        <w:t xml:space="preserve">LORA and </w:t>
      </w:r>
      <w:r w:rsidRPr="00535B79">
        <w:rPr>
          <w:rFonts w:ascii="Times New Roman" w:hAnsi="Times New Roman" w:cs="Times New Roman"/>
          <w:sz w:val="32"/>
          <w:szCs w:val="32"/>
        </w:rPr>
        <w:t>the Oilfield Site Restoration Program</w:t>
      </w:r>
      <w:r w:rsidR="00946121">
        <w:rPr>
          <w:rFonts w:ascii="Times New Roman" w:hAnsi="Times New Roman" w:cs="Times New Roman"/>
          <w:sz w:val="32"/>
          <w:szCs w:val="32"/>
        </w:rPr>
        <w:t xml:space="preserve"> – or </w:t>
      </w:r>
      <w:r w:rsidRPr="00535B79">
        <w:rPr>
          <w:rFonts w:ascii="Times New Roman" w:hAnsi="Times New Roman" w:cs="Times New Roman"/>
          <w:sz w:val="32"/>
          <w:szCs w:val="32"/>
        </w:rPr>
        <w:t>OSR</w:t>
      </w:r>
      <w:r w:rsidR="00946121">
        <w:rPr>
          <w:rFonts w:ascii="Times New Roman" w:hAnsi="Times New Roman" w:cs="Times New Roman"/>
          <w:sz w:val="32"/>
          <w:szCs w:val="32"/>
        </w:rPr>
        <w:t xml:space="preserve"> – </w:t>
      </w:r>
      <w:r w:rsidRPr="00535B79">
        <w:rPr>
          <w:rFonts w:ascii="Times New Roman" w:hAnsi="Times New Roman" w:cs="Times New Roman"/>
          <w:sz w:val="32"/>
          <w:szCs w:val="32"/>
        </w:rPr>
        <w:t xml:space="preserve">plugged 976 orphaned wells in fiscal years 2020 through 2023. At the same time, the number of orphaned wells </w:t>
      </w:r>
      <w:r w:rsidR="00946121">
        <w:rPr>
          <w:rFonts w:ascii="Times New Roman" w:hAnsi="Times New Roman" w:cs="Times New Roman"/>
          <w:sz w:val="32"/>
          <w:szCs w:val="32"/>
        </w:rPr>
        <w:t>grew, increasing by 12.4 percent between October 2023 and April 2024.</w:t>
      </w:r>
    </w:p>
    <w:p w:rsidR="00EA452E" w:rsidRPr="00535B79" w:rsidRDefault="00EA452E" w:rsidP="00535B79">
      <w:pPr>
        <w:pStyle w:val="NoSpacing"/>
        <w:rPr>
          <w:rFonts w:ascii="Times New Roman" w:hAnsi="Times New Roman" w:cs="Times New Roman"/>
          <w:sz w:val="32"/>
          <w:szCs w:val="32"/>
        </w:rPr>
      </w:pPr>
    </w:p>
    <w:p w:rsidR="00EA452E" w:rsidRPr="00535B79" w:rsidRDefault="00EA452E" w:rsidP="00535B79">
      <w:pPr>
        <w:pStyle w:val="NoSpacing"/>
        <w:rPr>
          <w:rFonts w:ascii="Times New Roman" w:hAnsi="Times New Roman" w:cs="Times New Roman"/>
          <w:sz w:val="32"/>
          <w:szCs w:val="32"/>
        </w:rPr>
      </w:pPr>
      <w:r w:rsidRPr="00535B79">
        <w:rPr>
          <w:rFonts w:ascii="Times New Roman" w:hAnsi="Times New Roman" w:cs="Times New Roman"/>
          <w:sz w:val="32"/>
          <w:szCs w:val="32"/>
        </w:rPr>
        <w:t xml:space="preserve">In addition, we found that OC </w:t>
      </w:r>
      <w:r w:rsidR="00946121">
        <w:rPr>
          <w:rFonts w:ascii="Times New Roman" w:hAnsi="Times New Roman" w:cs="Times New Roman"/>
          <w:sz w:val="32"/>
          <w:szCs w:val="32"/>
        </w:rPr>
        <w:t>wa</w:t>
      </w:r>
      <w:r w:rsidRPr="00535B79">
        <w:rPr>
          <w:rFonts w:ascii="Times New Roman" w:hAnsi="Times New Roman" w:cs="Times New Roman"/>
          <w:sz w:val="32"/>
          <w:szCs w:val="32"/>
        </w:rPr>
        <w:t xml:space="preserve">s unable to expand the OSR Program because state law limits the program’s ability to collect adequate funding. We estimated that it </w:t>
      </w:r>
      <w:r w:rsidR="00946121">
        <w:rPr>
          <w:rFonts w:ascii="Times New Roman" w:hAnsi="Times New Roman" w:cs="Times New Roman"/>
          <w:sz w:val="32"/>
          <w:szCs w:val="32"/>
        </w:rPr>
        <w:t>would</w:t>
      </w:r>
      <w:r w:rsidRPr="00535B79">
        <w:rPr>
          <w:rFonts w:ascii="Times New Roman" w:hAnsi="Times New Roman" w:cs="Times New Roman"/>
          <w:sz w:val="32"/>
          <w:szCs w:val="32"/>
        </w:rPr>
        <w:t xml:space="preserve"> take approximately $542.9 million </w:t>
      </w:r>
      <w:r w:rsidR="00946121">
        <w:rPr>
          <w:rFonts w:ascii="Times New Roman" w:hAnsi="Times New Roman" w:cs="Times New Roman"/>
          <w:sz w:val="32"/>
          <w:szCs w:val="32"/>
        </w:rPr>
        <w:t xml:space="preserve">dollars </w:t>
      </w:r>
      <w:r w:rsidRPr="00535B79">
        <w:rPr>
          <w:rFonts w:ascii="Times New Roman" w:hAnsi="Times New Roman" w:cs="Times New Roman"/>
          <w:sz w:val="32"/>
          <w:szCs w:val="32"/>
        </w:rPr>
        <w:t xml:space="preserve">to address the current population of orphaned wells; however, state law requires that collection of </w:t>
      </w:r>
      <w:r w:rsidR="00946121">
        <w:rPr>
          <w:rFonts w:ascii="Times New Roman" w:hAnsi="Times New Roman" w:cs="Times New Roman"/>
          <w:sz w:val="32"/>
          <w:szCs w:val="32"/>
        </w:rPr>
        <w:t xml:space="preserve">the </w:t>
      </w:r>
      <w:r w:rsidRPr="00535B79">
        <w:rPr>
          <w:rFonts w:ascii="Times New Roman" w:hAnsi="Times New Roman" w:cs="Times New Roman"/>
          <w:sz w:val="32"/>
          <w:szCs w:val="32"/>
        </w:rPr>
        <w:t xml:space="preserve">oil and gas production fees </w:t>
      </w:r>
      <w:r w:rsidR="00946121">
        <w:rPr>
          <w:rFonts w:ascii="Times New Roman" w:hAnsi="Times New Roman" w:cs="Times New Roman"/>
          <w:sz w:val="32"/>
          <w:szCs w:val="32"/>
        </w:rPr>
        <w:t xml:space="preserve">that help pay for the program </w:t>
      </w:r>
      <w:r w:rsidRPr="00535B79">
        <w:rPr>
          <w:rFonts w:ascii="Times New Roman" w:hAnsi="Times New Roman" w:cs="Times New Roman"/>
          <w:sz w:val="32"/>
          <w:szCs w:val="32"/>
        </w:rPr>
        <w:t>be suspended if the OSR fund exceeds $14 million</w:t>
      </w:r>
      <w:r w:rsidR="00946121">
        <w:rPr>
          <w:rFonts w:ascii="Times New Roman" w:hAnsi="Times New Roman" w:cs="Times New Roman"/>
          <w:sz w:val="32"/>
          <w:szCs w:val="32"/>
        </w:rPr>
        <w:t xml:space="preserve"> dollars</w:t>
      </w:r>
      <w:r w:rsidRPr="00535B79">
        <w:rPr>
          <w:rFonts w:ascii="Times New Roman" w:hAnsi="Times New Roman" w:cs="Times New Roman"/>
          <w:sz w:val="32"/>
          <w:szCs w:val="32"/>
        </w:rPr>
        <w:t xml:space="preserve">. </w:t>
      </w:r>
    </w:p>
    <w:p w:rsidR="00EA452E" w:rsidRPr="00535B79" w:rsidRDefault="00EA452E" w:rsidP="00535B79">
      <w:pPr>
        <w:pStyle w:val="NoSpacing"/>
        <w:rPr>
          <w:rFonts w:ascii="Times New Roman" w:hAnsi="Times New Roman" w:cs="Times New Roman"/>
          <w:sz w:val="32"/>
          <w:szCs w:val="32"/>
        </w:rPr>
      </w:pPr>
    </w:p>
    <w:p w:rsidR="007616C9" w:rsidRDefault="00EA452E" w:rsidP="00535B79">
      <w:pPr>
        <w:pStyle w:val="NoSpacing"/>
        <w:rPr>
          <w:rFonts w:ascii="Times New Roman" w:hAnsi="Times New Roman" w:cs="Times New Roman"/>
          <w:sz w:val="32"/>
          <w:szCs w:val="32"/>
        </w:rPr>
      </w:pPr>
      <w:r w:rsidRPr="00535B79">
        <w:rPr>
          <w:rFonts w:ascii="Times New Roman" w:hAnsi="Times New Roman" w:cs="Times New Roman"/>
          <w:sz w:val="32"/>
          <w:szCs w:val="32"/>
        </w:rPr>
        <w:t>Further, the number of inactive wells, which have a higher risk of being orphaned, increased 21.7</w:t>
      </w:r>
      <w:r w:rsidR="00946121">
        <w:rPr>
          <w:rFonts w:ascii="Times New Roman" w:hAnsi="Times New Roman" w:cs="Times New Roman"/>
          <w:sz w:val="32"/>
          <w:szCs w:val="32"/>
        </w:rPr>
        <w:t xml:space="preserve"> percent</w:t>
      </w:r>
      <w:r w:rsidRPr="00535B79">
        <w:rPr>
          <w:rFonts w:ascii="Times New Roman" w:hAnsi="Times New Roman" w:cs="Times New Roman"/>
          <w:sz w:val="32"/>
          <w:szCs w:val="32"/>
        </w:rPr>
        <w:t xml:space="preserve"> from August 2019 to April 2024. Although OC recently updated </w:t>
      </w:r>
      <w:r w:rsidR="00946121">
        <w:rPr>
          <w:rFonts w:ascii="Times New Roman" w:hAnsi="Times New Roman" w:cs="Times New Roman"/>
          <w:sz w:val="32"/>
          <w:szCs w:val="32"/>
        </w:rPr>
        <w:t xml:space="preserve">its </w:t>
      </w:r>
      <w:r w:rsidRPr="00535B79">
        <w:rPr>
          <w:rFonts w:ascii="Times New Roman" w:hAnsi="Times New Roman" w:cs="Times New Roman"/>
          <w:sz w:val="32"/>
          <w:szCs w:val="32"/>
        </w:rPr>
        <w:t xml:space="preserve">regulations to increase the annual </w:t>
      </w:r>
      <w:r w:rsidR="00946121">
        <w:rPr>
          <w:rFonts w:ascii="Times New Roman" w:hAnsi="Times New Roman" w:cs="Times New Roman"/>
          <w:sz w:val="32"/>
          <w:szCs w:val="32"/>
        </w:rPr>
        <w:t xml:space="preserve">fee owners of </w:t>
      </w:r>
      <w:r w:rsidRPr="00535B79">
        <w:rPr>
          <w:rFonts w:ascii="Times New Roman" w:hAnsi="Times New Roman" w:cs="Times New Roman"/>
          <w:sz w:val="32"/>
          <w:szCs w:val="32"/>
        </w:rPr>
        <w:t>inactive well</w:t>
      </w:r>
      <w:r w:rsidR="00946121">
        <w:rPr>
          <w:rFonts w:ascii="Times New Roman" w:hAnsi="Times New Roman" w:cs="Times New Roman"/>
          <w:sz w:val="32"/>
          <w:szCs w:val="32"/>
        </w:rPr>
        <w:t>s</w:t>
      </w:r>
      <w:r w:rsidRPr="00535B79">
        <w:rPr>
          <w:rFonts w:ascii="Times New Roman" w:hAnsi="Times New Roman" w:cs="Times New Roman"/>
          <w:sz w:val="32"/>
          <w:szCs w:val="32"/>
        </w:rPr>
        <w:t xml:space="preserve"> </w:t>
      </w:r>
      <w:r w:rsidR="00946121">
        <w:rPr>
          <w:rFonts w:ascii="Times New Roman" w:hAnsi="Times New Roman" w:cs="Times New Roman"/>
          <w:sz w:val="32"/>
          <w:szCs w:val="32"/>
        </w:rPr>
        <w:t>pay so that it is based</w:t>
      </w:r>
      <w:r w:rsidRPr="00535B79">
        <w:rPr>
          <w:rFonts w:ascii="Times New Roman" w:hAnsi="Times New Roman" w:cs="Times New Roman"/>
          <w:sz w:val="32"/>
          <w:szCs w:val="32"/>
        </w:rPr>
        <w:t xml:space="preserve"> on the time each well has been inactive, </w:t>
      </w:r>
      <w:r w:rsidR="00946121">
        <w:rPr>
          <w:rFonts w:ascii="Times New Roman" w:hAnsi="Times New Roman" w:cs="Times New Roman"/>
          <w:sz w:val="32"/>
          <w:szCs w:val="32"/>
        </w:rPr>
        <w:t xml:space="preserve">OC </w:t>
      </w:r>
      <w:r w:rsidRPr="00535B79">
        <w:rPr>
          <w:rFonts w:ascii="Times New Roman" w:hAnsi="Times New Roman" w:cs="Times New Roman"/>
          <w:sz w:val="32"/>
          <w:szCs w:val="32"/>
        </w:rPr>
        <w:t xml:space="preserve">does not place as many restrictions on inactive wells as other states. </w:t>
      </w:r>
      <w:bookmarkEnd w:id="0"/>
    </w:p>
    <w:p w:rsidR="00535B79" w:rsidRPr="00A9201E" w:rsidRDefault="00535B79" w:rsidP="00A9201E">
      <w:pPr>
        <w:pStyle w:val="NoSpacing"/>
        <w:rPr>
          <w:rFonts w:ascii="Times New Roman" w:hAnsi="Times New Roman" w:cs="Times New Roman"/>
          <w:sz w:val="32"/>
          <w:szCs w:val="32"/>
        </w:rPr>
      </w:pPr>
    </w:p>
    <w:p w:rsidR="00A9201E" w:rsidRDefault="00A9201E" w:rsidP="00A9201E">
      <w:pPr>
        <w:pStyle w:val="NoSpacing"/>
        <w:rPr>
          <w:rFonts w:ascii="Times New Roman" w:hAnsi="Times New Roman" w:cs="Times New Roman"/>
          <w:sz w:val="32"/>
          <w:szCs w:val="32"/>
        </w:rPr>
      </w:pPr>
      <w:r>
        <w:rPr>
          <w:rFonts w:ascii="Times New Roman" w:hAnsi="Times New Roman" w:cs="Times New Roman"/>
          <w:sz w:val="32"/>
          <w:szCs w:val="32"/>
        </w:rPr>
        <w:t xml:space="preserve">In our second report, </w:t>
      </w:r>
      <w:r w:rsidRPr="00A9201E">
        <w:rPr>
          <w:rFonts w:ascii="Times New Roman" w:hAnsi="Times New Roman" w:cs="Times New Roman"/>
          <w:sz w:val="32"/>
          <w:szCs w:val="32"/>
        </w:rPr>
        <w:t xml:space="preserve">we found </w:t>
      </w:r>
      <w:r>
        <w:rPr>
          <w:rFonts w:ascii="Times New Roman" w:hAnsi="Times New Roman" w:cs="Times New Roman"/>
          <w:sz w:val="32"/>
          <w:szCs w:val="32"/>
        </w:rPr>
        <w:t xml:space="preserve">overall </w:t>
      </w:r>
      <w:r w:rsidRPr="00A9201E">
        <w:rPr>
          <w:rFonts w:ascii="Times New Roman" w:hAnsi="Times New Roman" w:cs="Times New Roman"/>
          <w:sz w:val="32"/>
          <w:szCs w:val="32"/>
        </w:rPr>
        <w:t xml:space="preserve">that OC </w:t>
      </w:r>
      <w:r>
        <w:rPr>
          <w:rFonts w:ascii="Times New Roman" w:hAnsi="Times New Roman" w:cs="Times New Roman"/>
          <w:sz w:val="32"/>
          <w:szCs w:val="32"/>
        </w:rPr>
        <w:t>did</w:t>
      </w:r>
      <w:r w:rsidRPr="00A9201E">
        <w:rPr>
          <w:rFonts w:ascii="Times New Roman" w:hAnsi="Times New Roman" w:cs="Times New Roman"/>
          <w:sz w:val="32"/>
          <w:szCs w:val="32"/>
        </w:rPr>
        <w:t xml:space="preserve"> not sufficiently monitor LORA to ensure it remain</w:t>
      </w:r>
      <w:r>
        <w:rPr>
          <w:rFonts w:ascii="Times New Roman" w:hAnsi="Times New Roman" w:cs="Times New Roman"/>
          <w:sz w:val="32"/>
          <w:szCs w:val="32"/>
        </w:rPr>
        <w:t>ed</w:t>
      </w:r>
      <w:r w:rsidRPr="00A9201E">
        <w:rPr>
          <w:rFonts w:ascii="Times New Roman" w:hAnsi="Times New Roman" w:cs="Times New Roman"/>
          <w:sz w:val="32"/>
          <w:szCs w:val="32"/>
        </w:rPr>
        <w:t xml:space="preserve"> financially solvent and complie</w:t>
      </w:r>
      <w:r>
        <w:rPr>
          <w:rFonts w:ascii="Times New Roman" w:hAnsi="Times New Roman" w:cs="Times New Roman"/>
          <w:sz w:val="32"/>
          <w:szCs w:val="32"/>
        </w:rPr>
        <w:t>d</w:t>
      </w:r>
      <w:r w:rsidRPr="00A9201E">
        <w:rPr>
          <w:rFonts w:ascii="Times New Roman" w:hAnsi="Times New Roman" w:cs="Times New Roman"/>
          <w:sz w:val="32"/>
          <w:szCs w:val="32"/>
        </w:rPr>
        <w:t xml:space="preserve"> with the requirements of the cooperative endeavor agreement </w:t>
      </w:r>
      <w:r w:rsidR="00084C32">
        <w:rPr>
          <w:rFonts w:ascii="Times New Roman" w:hAnsi="Times New Roman" w:cs="Times New Roman"/>
          <w:sz w:val="32"/>
          <w:szCs w:val="32"/>
        </w:rPr>
        <w:t>–</w:t>
      </w:r>
      <w:r w:rsidR="00357DB1">
        <w:rPr>
          <w:rFonts w:ascii="Times New Roman" w:hAnsi="Times New Roman" w:cs="Times New Roman"/>
          <w:sz w:val="32"/>
          <w:szCs w:val="32"/>
        </w:rPr>
        <w:t xml:space="preserve"> or CEA </w:t>
      </w:r>
      <w:r w:rsidR="00084C32">
        <w:rPr>
          <w:rFonts w:ascii="Times New Roman" w:hAnsi="Times New Roman" w:cs="Times New Roman"/>
          <w:sz w:val="32"/>
          <w:szCs w:val="32"/>
        </w:rPr>
        <w:t xml:space="preserve">– </w:t>
      </w:r>
      <w:bookmarkStart w:id="1" w:name="_GoBack"/>
      <w:bookmarkEnd w:id="1"/>
      <w:r w:rsidRPr="00A9201E">
        <w:rPr>
          <w:rFonts w:ascii="Times New Roman" w:hAnsi="Times New Roman" w:cs="Times New Roman"/>
          <w:sz w:val="32"/>
          <w:szCs w:val="32"/>
        </w:rPr>
        <w:t xml:space="preserve">between the two entities. </w:t>
      </w:r>
    </w:p>
    <w:p w:rsidR="00A9201E" w:rsidRDefault="00A9201E" w:rsidP="00A9201E">
      <w:pPr>
        <w:pStyle w:val="NoSpacing"/>
        <w:rPr>
          <w:rFonts w:ascii="Times New Roman" w:hAnsi="Times New Roman" w:cs="Times New Roman"/>
          <w:sz w:val="32"/>
          <w:szCs w:val="32"/>
        </w:rPr>
      </w:pPr>
    </w:p>
    <w:p w:rsidR="00A9201E" w:rsidRPr="00A9201E" w:rsidRDefault="00A9201E" w:rsidP="00A9201E">
      <w:pPr>
        <w:pStyle w:val="NoSpacing"/>
        <w:rPr>
          <w:rFonts w:ascii="Times New Roman" w:hAnsi="Times New Roman" w:cs="Times New Roman"/>
          <w:sz w:val="32"/>
          <w:szCs w:val="32"/>
        </w:rPr>
      </w:pPr>
      <w:r w:rsidRPr="00A9201E">
        <w:rPr>
          <w:rFonts w:ascii="Times New Roman" w:hAnsi="Times New Roman" w:cs="Times New Roman"/>
          <w:sz w:val="32"/>
          <w:szCs w:val="32"/>
        </w:rPr>
        <w:t xml:space="preserve">In addition, the CEA </w:t>
      </w:r>
      <w:r w:rsidR="00357DB1">
        <w:rPr>
          <w:rFonts w:ascii="Times New Roman" w:hAnsi="Times New Roman" w:cs="Times New Roman"/>
          <w:sz w:val="32"/>
          <w:szCs w:val="32"/>
        </w:rPr>
        <w:t>does</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 xml:space="preserve">not establish clear and comprehensive terms for LORA’s operations, </w:t>
      </w:r>
      <w:r w:rsidR="00357DB1">
        <w:rPr>
          <w:rFonts w:ascii="Times New Roman" w:hAnsi="Times New Roman" w:cs="Times New Roman"/>
          <w:sz w:val="32"/>
          <w:szCs w:val="32"/>
        </w:rPr>
        <w:t>does</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 xml:space="preserve">not adequately protect the state from financial risks if LORA </w:t>
      </w:r>
      <w:r w:rsidR="00D26935">
        <w:rPr>
          <w:rFonts w:ascii="Times New Roman" w:hAnsi="Times New Roman" w:cs="Times New Roman"/>
          <w:sz w:val="32"/>
          <w:szCs w:val="32"/>
        </w:rPr>
        <w:t>were to</w:t>
      </w:r>
      <w:r w:rsidR="00357DB1">
        <w:rPr>
          <w:rFonts w:ascii="Times New Roman" w:hAnsi="Times New Roman" w:cs="Times New Roman"/>
          <w:sz w:val="32"/>
          <w:szCs w:val="32"/>
        </w:rPr>
        <w:t xml:space="preserve"> become</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 xml:space="preserve">insolvent, </w:t>
      </w:r>
      <w:r w:rsidR="00357DB1" w:rsidRPr="00A9201E">
        <w:rPr>
          <w:rFonts w:ascii="Times New Roman" w:hAnsi="Times New Roman" w:cs="Times New Roman"/>
          <w:sz w:val="32"/>
          <w:szCs w:val="32"/>
        </w:rPr>
        <w:t>allow</w:t>
      </w:r>
      <w:r w:rsidR="00357DB1">
        <w:rPr>
          <w:rFonts w:ascii="Times New Roman" w:hAnsi="Times New Roman" w:cs="Times New Roman"/>
          <w:sz w:val="32"/>
          <w:szCs w:val="32"/>
        </w:rPr>
        <w:t>s</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 xml:space="preserve">LORA significant flexibility on how to spend its funds, and </w:t>
      </w:r>
      <w:r w:rsidR="00357DB1" w:rsidRPr="00A9201E">
        <w:rPr>
          <w:rFonts w:ascii="Times New Roman" w:hAnsi="Times New Roman" w:cs="Times New Roman"/>
          <w:sz w:val="32"/>
          <w:szCs w:val="32"/>
        </w:rPr>
        <w:t>provide</w:t>
      </w:r>
      <w:r w:rsidR="00357DB1">
        <w:rPr>
          <w:rFonts w:ascii="Times New Roman" w:hAnsi="Times New Roman" w:cs="Times New Roman"/>
          <w:sz w:val="32"/>
          <w:szCs w:val="32"/>
        </w:rPr>
        <w:t>s</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 xml:space="preserve">no timelines for how long LORA </w:t>
      </w:r>
      <w:r w:rsidR="00357DB1" w:rsidRPr="00A9201E">
        <w:rPr>
          <w:rFonts w:ascii="Times New Roman" w:hAnsi="Times New Roman" w:cs="Times New Roman"/>
          <w:sz w:val="32"/>
          <w:szCs w:val="32"/>
        </w:rPr>
        <w:t>ha</w:t>
      </w:r>
      <w:r w:rsidR="00357DB1">
        <w:rPr>
          <w:rFonts w:ascii="Times New Roman" w:hAnsi="Times New Roman" w:cs="Times New Roman"/>
          <w:sz w:val="32"/>
          <w:szCs w:val="32"/>
        </w:rPr>
        <w:t>s</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 xml:space="preserve">to fulfill its obligation to plug orphaned wells. </w:t>
      </w:r>
    </w:p>
    <w:p w:rsidR="00A9201E" w:rsidRPr="00A9201E" w:rsidRDefault="00A9201E" w:rsidP="00A9201E">
      <w:pPr>
        <w:pStyle w:val="NoSpacing"/>
        <w:rPr>
          <w:rFonts w:ascii="Times New Roman" w:hAnsi="Times New Roman" w:cs="Times New Roman"/>
          <w:sz w:val="32"/>
          <w:szCs w:val="32"/>
        </w:rPr>
      </w:pPr>
    </w:p>
    <w:p w:rsidR="00A9201E" w:rsidRPr="00A9201E" w:rsidRDefault="00A9201E" w:rsidP="00A9201E">
      <w:pPr>
        <w:pStyle w:val="NoSpacing"/>
        <w:rPr>
          <w:rFonts w:ascii="Times New Roman" w:hAnsi="Times New Roman" w:cs="Times New Roman"/>
          <w:b/>
          <w:sz w:val="32"/>
          <w:szCs w:val="32"/>
        </w:rPr>
      </w:pPr>
      <w:r w:rsidRPr="00A9201E">
        <w:rPr>
          <w:rFonts w:ascii="Times New Roman" w:hAnsi="Times New Roman" w:cs="Times New Roman"/>
          <w:sz w:val="32"/>
          <w:szCs w:val="32"/>
        </w:rPr>
        <w:t xml:space="preserve">In particular, we found that while OC has sole oversight of LORA, OC does not do enough to monitor LORA to protect operators and the state from the risk that </w:t>
      </w:r>
      <w:r w:rsidR="002D2D2C">
        <w:rPr>
          <w:rFonts w:ascii="Times New Roman" w:hAnsi="Times New Roman" w:cs="Times New Roman"/>
          <w:sz w:val="32"/>
          <w:szCs w:val="32"/>
        </w:rPr>
        <w:t>LORA</w:t>
      </w:r>
      <w:r w:rsidRPr="00A9201E">
        <w:rPr>
          <w:rFonts w:ascii="Times New Roman" w:hAnsi="Times New Roman" w:cs="Times New Roman"/>
          <w:sz w:val="32"/>
          <w:szCs w:val="32"/>
        </w:rPr>
        <w:t xml:space="preserve"> will be unable to meet its financial obligations.</w:t>
      </w:r>
      <w:r w:rsidRPr="00A9201E">
        <w:rPr>
          <w:rFonts w:ascii="Times New Roman" w:hAnsi="Times New Roman" w:cs="Times New Roman"/>
          <w:b/>
          <w:sz w:val="32"/>
          <w:szCs w:val="32"/>
        </w:rPr>
        <w:t xml:space="preserve"> </w:t>
      </w:r>
    </w:p>
    <w:p w:rsidR="00A9201E" w:rsidRPr="00A9201E" w:rsidRDefault="00A9201E" w:rsidP="00A9201E">
      <w:pPr>
        <w:pStyle w:val="NoSpacing"/>
        <w:rPr>
          <w:rFonts w:ascii="Times New Roman" w:hAnsi="Times New Roman" w:cs="Times New Roman"/>
          <w:b/>
          <w:sz w:val="32"/>
          <w:szCs w:val="32"/>
        </w:rPr>
      </w:pPr>
    </w:p>
    <w:p w:rsidR="00A9201E" w:rsidRPr="00A9201E" w:rsidRDefault="00A9201E" w:rsidP="00A9201E">
      <w:pPr>
        <w:pStyle w:val="NoSpacing"/>
        <w:rPr>
          <w:rFonts w:ascii="Times New Roman" w:hAnsi="Times New Roman" w:cs="Times New Roman"/>
          <w:sz w:val="32"/>
          <w:szCs w:val="32"/>
        </w:rPr>
      </w:pPr>
      <w:r w:rsidRPr="00A9201E">
        <w:rPr>
          <w:rFonts w:ascii="Times New Roman" w:hAnsi="Times New Roman" w:cs="Times New Roman"/>
          <w:sz w:val="32"/>
          <w:szCs w:val="32"/>
        </w:rPr>
        <w:t>We also found that, under the requirements of the CEA, LORA provided 45.5</w:t>
      </w:r>
      <w:r>
        <w:rPr>
          <w:rFonts w:ascii="Times New Roman" w:hAnsi="Times New Roman" w:cs="Times New Roman"/>
          <w:sz w:val="32"/>
          <w:szCs w:val="32"/>
        </w:rPr>
        <w:t xml:space="preserve"> percent </w:t>
      </w:r>
      <w:r w:rsidRPr="00A9201E">
        <w:rPr>
          <w:rFonts w:ascii="Times New Roman" w:hAnsi="Times New Roman" w:cs="Times New Roman"/>
          <w:sz w:val="32"/>
          <w:szCs w:val="32"/>
        </w:rPr>
        <w:t xml:space="preserve">of all financial security for Louisiana wells as of October 2023. However, OC </w:t>
      </w:r>
      <w:r w:rsidR="00357DB1">
        <w:rPr>
          <w:rFonts w:ascii="Times New Roman" w:hAnsi="Times New Roman" w:cs="Times New Roman"/>
          <w:sz w:val="32"/>
          <w:szCs w:val="32"/>
        </w:rPr>
        <w:t>does</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 xml:space="preserve">not have a contingency plan in place to </w:t>
      </w:r>
      <w:r w:rsidRPr="00A9201E">
        <w:rPr>
          <w:rFonts w:ascii="Times New Roman" w:hAnsi="Times New Roman" w:cs="Times New Roman"/>
          <w:sz w:val="32"/>
          <w:szCs w:val="32"/>
        </w:rPr>
        <w:lastRenderedPageBreak/>
        <w:t xml:space="preserve">address financial </w:t>
      </w:r>
      <w:r w:rsidR="00357DB1">
        <w:rPr>
          <w:rFonts w:ascii="Times New Roman" w:hAnsi="Times New Roman" w:cs="Times New Roman"/>
          <w:sz w:val="32"/>
          <w:szCs w:val="32"/>
        </w:rPr>
        <w:t>and</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 xml:space="preserve">safety risks to the state if the CEA </w:t>
      </w:r>
      <w:r>
        <w:rPr>
          <w:rFonts w:ascii="Times New Roman" w:hAnsi="Times New Roman" w:cs="Times New Roman"/>
          <w:sz w:val="32"/>
          <w:szCs w:val="32"/>
        </w:rPr>
        <w:t>were to be</w:t>
      </w:r>
      <w:r w:rsidRPr="00A9201E">
        <w:rPr>
          <w:rFonts w:ascii="Times New Roman" w:hAnsi="Times New Roman" w:cs="Times New Roman"/>
          <w:sz w:val="32"/>
          <w:szCs w:val="32"/>
        </w:rPr>
        <w:t xml:space="preserve"> terminated or LORA c</w:t>
      </w:r>
      <w:r>
        <w:rPr>
          <w:rFonts w:ascii="Times New Roman" w:hAnsi="Times New Roman" w:cs="Times New Roman"/>
          <w:sz w:val="32"/>
          <w:szCs w:val="32"/>
        </w:rPr>
        <w:t xml:space="preserve">ould </w:t>
      </w:r>
      <w:r w:rsidRPr="00A9201E">
        <w:rPr>
          <w:rFonts w:ascii="Times New Roman" w:hAnsi="Times New Roman" w:cs="Times New Roman"/>
          <w:sz w:val="32"/>
          <w:szCs w:val="32"/>
        </w:rPr>
        <w:t>not cover its obligations.</w:t>
      </w:r>
      <w:r w:rsidRPr="00A9201E">
        <w:rPr>
          <w:rFonts w:ascii="Times New Roman" w:hAnsi="Times New Roman" w:cs="Times New Roman"/>
          <w:b/>
          <w:sz w:val="32"/>
          <w:szCs w:val="32"/>
        </w:rPr>
        <w:t xml:space="preserve"> </w:t>
      </w:r>
    </w:p>
    <w:p w:rsidR="00A9201E" w:rsidRPr="00A9201E" w:rsidRDefault="00A9201E" w:rsidP="00A9201E">
      <w:pPr>
        <w:pStyle w:val="NoSpacing"/>
        <w:rPr>
          <w:rFonts w:ascii="Times New Roman" w:hAnsi="Times New Roman" w:cs="Times New Roman"/>
          <w:sz w:val="32"/>
          <w:szCs w:val="32"/>
        </w:rPr>
      </w:pPr>
    </w:p>
    <w:p w:rsidR="00A9201E" w:rsidRPr="00A9201E" w:rsidRDefault="00A9201E" w:rsidP="00A9201E">
      <w:pPr>
        <w:pStyle w:val="NoSpacing"/>
        <w:rPr>
          <w:rFonts w:ascii="Times New Roman" w:hAnsi="Times New Roman" w:cs="Times New Roman"/>
          <w:sz w:val="32"/>
          <w:szCs w:val="32"/>
        </w:rPr>
      </w:pPr>
      <w:r w:rsidRPr="00A9201E">
        <w:rPr>
          <w:rFonts w:ascii="Times New Roman" w:hAnsi="Times New Roman" w:cs="Times New Roman"/>
          <w:sz w:val="32"/>
          <w:szCs w:val="32"/>
        </w:rPr>
        <w:t xml:space="preserve">In addition, we found </w:t>
      </w:r>
      <w:r w:rsidR="002D2D2C">
        <w:rPr>
          <w:rFonts w:ascii="Times New Roman" w:hAnsi="Times New Roman" w:cs="Times New Roman"/>
          <w:sz w:val="32"/>
          <w:szCs w:val="32"/>
        </w:rPr>
        <w:t xml:space="preserve">that </w:t>
      </w:r>
      <w:r w:rsidRPr="00A9201E">
        <w:rPr>
          <w:rFonts w:ascii="Times New Roman" w:hAnsi="Times New Roman" w:cs="Times New Roman"/>
          <w:sz w:val="32"/>
          <w:szCs w:val="32"/>
        </w:rPr>
        <w:t xml:space="preserve">OC </w:t>
      </w:r>
      <w:r w:rsidR="00357DB1" w:rsidRPr="00A9201E">
        <w:rPr>
          <w:rFonts w:ascii="Times New Roman" w:hAnsi="Times New Roman" w:cs="Times New Roman"/>
          <w:sz w:val="32"/>
          <w:szCs w:val="32"/>
        </w:rPr>
        <w:t>ha</w:t>
      </w:r>
      <w:r w:rsidR="00357DB1">
        <w:rPr>
          <w:rFonts w:ascii="Times New Roman" w:hAnsi="Times New Roman" w:cs="Times New Roman"/>
          <w:sz w:val="32"/>
          <w:szCs w:val="32"/>
        </w:rPr>
        <w:t>s</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 xml:space="preserve">never exercised its authority to monitor LORA’s administrative expenses to determine if the percentage allowed </w:t>
      </w:r>
      <w:r w:rsidR="00357DB1">
        <w:rPr>
          <w:rFonts w:ascii="Times New Roman" w:hAnsi="Times New Roman" w:cs="Times New Roman"/>
          <w:sz w:val="32"/>
          <w:szCs w:val="32"/>
        </w:rPr>
        <w:t>is</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reasonable. However, OC did allow LORA to increase its percentage for administrative expenses from 20</w:t>
      </w:r>
      <w:r>
        <w:rPr>
          <w:rFonts w:ascii="Times New Roman" w:hAnsi="Times New Roman" w:cs="Times New Roman"/>
          <w:sz w:val="32"/>
          <w:szCs w:val="32"/>
        </w:rPr>
        <w:t xml:space="preserve"> percent</w:t>
      </w:r>
      <w:r w:rsidRPr="00A9201E">
        <w:rPr>
          <w:rFonts w:ascii="Times New Roman" w:hAnsi="Times New Roman" w:cs="Times New Roman"/>
          <w:sz w:val="32"/>
          <w:szCs w:val="32"/>
        </w:rPr>
        <w:t xml:space="preserve"> to 36</w:t>
      </w:r>
      <w:r>
        <w:rPr>
          <w:rFonts w:ascii="Times New Roman" w:hAnsi="Times New Roman" w:cs="Times New Roman"/>
          <w:sz w:val="32"/>
          <w:szCs w:val="32"/>
        </w:rPr>
        <w:t xml:space="preserve"> percent</w:t>
      </w:r>
      <w:r w:rsidRPr="00A9201E">
        <w:rPr>
          <w:rFonts w:ascii="Times New Roman" w:hAnsi="Times New Roman" w:cs="Times New Roman"/>
          <w:sz w:val="32"/>
          <w:szCs w:val="32"/>
        </w:rPr>
        <w:t xml:space="preserve"> after the required minimum reserve balance of $5 million </w:t>
      </w:r>
      <w:r>
        <w:rPr>
          <w:rFonts w:ascii="Times New Roman" w:hAnsi="Times New Roman" w:cs="Times New Roman"/>
          <w:sz w:val="32"/>
          <w:szCs w:val="32"/>
        </w:rPr>
        <w:t xml:space="preserve">dollars </w:t>
      </w:r>
      <w:r w:rsidRPr="00A9201E">
        <w:rPr>
          <w:rFonts w:ascii="Times New Roman" w:hAnsi="Times New Roman" w:cs="Times New Roman"/>
          <w:sz w:val="32"/>
          <w:szCs w:val="32"/>
        </w:rPr>
        <w:t xml:space="preserve">was reached. </w:t>
      </w:r>
    </w:p>
    <w:p w:rsidR="00A9201E" w:rsidRPr="00A9201E" w:rsidRDefault="00A9201E" w:rsidP="00A9201E">
      <w:pPr>
        <w:pStyle w:val="NoSpacing"/>
        <w:rPr>
          <w:rFonts w:ascii="Times New Roman" w:hAnsi="Times New Roman" w:cs="Times New Roman"/>
          <w:sz w:val="32"/>
          <w:szCs w:val="32"/>
        </w:rPr>
      </w:pPr>
    </w:p>
    <w:p w:rsidR="00A9201E" w:rsidRPr="00A9201E" w:rsidRDefault="00A9201E" w:rsidP="00A9201E">
      <w:pPr>
        <w:pStyle w:val="NoSpacing"/>
        <w:rPr>
          <w:rFonts w:ascii="Times New Roman" w:hAnsi="Times New Roman" w:cs="Times New Roman"/>
          <w:sz w:val="32"/>
          <w:szCs w:val="32"/>
        </w:rPr>
      </w:pPr>
      <w:r w:rsidRPr="00A9201E">
        <w:rPr>
          <w:rFonts w:ascii="Times New Roman" w:hAnsi="Times New Roman" w:cs="Times New Roman"/>
          <w:sz w:val="32"/>
          <w:szCs w:val="32"/>
        </w:rPr>
        <w:t xml:space="preserve">We found as well that OC did not include provisions in the CEA to help ensure LORA operates in the state’s best interest. Specifically, the CEA </w:t>
      </w:r>
      <w:r w:rsidR="00357DB1">
        <w:rPr>
          <w:rFonts w:ascii="Times New Roman" w:hAnsi="Times New Roman" w:cs="Times New Roman"/>
          <w:sz w:val="32"/>
          <w:szCs w:val="32"/>
        </w:rPr>
        <w:t>does</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 xml:space="preserve">not address how LORA should spend investment income, </w:t>
      </w:r>
      <w:r w:rsidR="00357DB1">
        <w:rPr>
          <w:rFonts w:ascii="Times New Roman" w:hAnsi="Times New Roman" w:cs="Times New Roman"/>
          <w:sz w:val="32"/>
          <w:szCs w:val="32"/>
        </w:rPr>
        <w:t>does</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 xml:space="preserve">not establish measurable targets </w:t>
      </w:r>
      <w:r w:rsidRPr="00A9201E">
        <w:rPr>
          <w:rFonts w:ascii="Times New Roman" w:hAnsi="Times New Roman" w:cs="Times New Roman"/>
          <w:color w:val="040404"/>
          <w:sz w:val="32"/>
          <w:szCs w:val="32"/>
        </w:rPr>
        <w:t>for evaluating LORA’s performance</w:t>
      </w:r>
      <w:r w:rsidRPr="00A9201E">
        <w:rPr>
          <w:rFonts w:ascii="Times New Roman" w:hAnsi="Times New Roman" w:cs="Times New Roman"/>
          <w:sz w:val="32"/>
          <w:szCs w:val="32"/>
        </w:rPr>
        <w:t xml:space="preserve">, and </w:t>
      </w:r>
      <w:r w:rsidR="00357DB1">
        <w:rPr>
          <w:rFonts w:ascii="Times New Roman" w:hAnsi="Times New Roman" w:cs="Times New Roman"/>
          <w:sz w:val="32"/>
          <w:szCs w:val="32"/>
        </w:rPr>
        <w:t>does</w:t>
      </w:r>
      <w:r w:rsidR="00357DB1" w:rsidRPr="00A9201E">
        <w:rPr>
          <w:rFonts w:ascii="Times New Roman" w:hAnsi="Times New Roman" w:cs="Times New Roman"/>
          <w:sz w:val="32"/>
          <w:szCs w:val="32"/>
        </w:rPr>
        <w:t xml:space="preserve"> </w:t>
      </w:r>
      <w:r w:rsidRPr="00A9201E">
        <w:rPr>
          <w:rFonts w:ascii="Times New Roman" w:hAnsi="Times New Roman" w:cs="Times New Roman"/>
          <w:sz w:val="32"/>
          <w:szCs w:val="32"/>
        </w:rPr>
        <w:t>not contain an audit clause to allow the legislative auditor access to LORA’s records.</w:t>
      </w:r>
    </w:p>
    <w:p w:rsidR="00A9201E" w:rsidRPr="00A9201E" w:rsidRDefault="00A9201E" w:rsidP="00A9201E">
      <w:pPr>
        <w:pStyle w:val="NoSpacing"/>
        <w:rPr>
          <w:rFonts w:ascii="Times New Roman" w:hAnsi="Times New Roman" w:cs="Times New Roman"/>
          <w:sz w:val="32"/>
          <w:szCs w:val="32"/>
        </w:rPr>
      </w:pPr>
    </w:p>
    <w:p w:rsidR="00A9201E" w:rsidRPr="00A9201E" w:rsidRDefault="00A9201E" w:rsidP="00A9201E">
      <w:pPr>
        <w:pStyle w:val="NoSpacing"/>
        <w:rPr>
          <w:rFonts w:ascii="Times New Roman" w:hAnsi="Times New Roman" w:cs="Times New Roman"/>
          <w:sz w:val="32"/>
          <w:szCs w:val="32"/>
        </w:rPr>
      </w:pPr>
      <w:r w:rsidRPr="00A9201E">
        <w:rPr>
          <w:rFonts w:ascii="Times New Roman" w:hAnsi="Times New Roman" w:cs="Times New Roman"/>
          <w:sz w:val="32"/>
          <w:szCs w:val="32"/>
        </w:rPr>
        <w:t>We found, too, that OC did not ensure LORA prioritized plugging orphaned wells that were secured, as required by the CEA. Of the 175 wells secured by LORA that were orphaned through December 2023, 130 remained unaddressed as of October 2024.</w:t>
      </w:r>
    </w:p>
    <w:p w:rsidR="00A9201E" w:rsidRPr="00A9201E" w:rsidRDefault="00A9201E" w:rsidP="00A9201E">
      <w:pPr>
        <w:pStyle w:val="NoSpacing"/>
        <w:rPr>
          <w:rFonts w:ascii="Times New Roman" w:hAnsi="Times New Roman" w:cs="Times New Roman"/>
          <w:sz w:val="32"/>
          <w:szCs w:val="32"/>
        </w:rPr>
      </w:pPr>
    </w:p>
    <w:p w:rsidR="0017612C" w:rsidRPr="00A9201E" w:rsidRDefault="00A9201E" w:rsidP="00A9201E">
      <w:pPr>
        <w:pStyle w:val="NoSpacing"/>
        <w:rPr>
          <w:rFonts w:ascii="Times New Roman" w:hAnsi="Times New Roman" w:cs="Times New Roman"/>
          <w:sz w:val="32"/>
          <w:szCs w:val="32"/>
        </w:rPr>
      </w:pPr>
      <w:r w:rsidRPr="00A9201E">
        <w:rPr>
          <w:rFonts w:ascii="Times New Roman" w:hAnsi="Times New Roman" w:cs="Times New Roman"/>
          <w:sz w:val="32"/>
          <w:szCs w:val="32"/>
        </w:rPr>
        <w:t>Additionally, we found that OC did not ensure LORA operated in a cost-effective manner so that its costs to plug wells were lower than those of the Oilfield Site Restoration Program.</w:t>
      </w:r>
    </w:p>
    <w:p w:rsidR="0017612C" w:rsidRPr="00A9201E" w:rsidRDefault="0017612C" w:rsidP="00A9201E">
      <w:pPr>
        <w:pStyle w:val="NoSpacing"/>
        <w:rPr>
          <w:rFonts w:ascii="Times New Roman" w:hAnsi="Times New Roman" w:cs="Times New Roman"/>
          <w:sz w:val="32"/>
          <w:szCs w:val="32"/>
        </w:rPr>
      </w:pPr>
    </w:p>
    <w:p w:rsidR="00AE68CD" w:rsidRDefault="00AB1CDE"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As a result of </w:t>
      </w:r>
      <w:r w:rsidR="00946121">
        <w:rPr>
          <w:rFonts w:ascii="Times New Roman" w:hAnsi="Times New Roman" w:cs="Times New Roman"/>
          <w:sz w:val="32"/>
          <w:szCs w:val="32"/>
        </w:rPr>
        <w:t>th</w:t>
      </w:r>
      <w:r w:rsidR="00A9201E">
        <w:rPr>
          <w:rFonts w:ascii="Times New Roman" w:hAnsi="Times New Roman" w:cs="Times New Roman"/>
          <w:sz w:val="32"/>
          <w:szCs w:val="32"/>
        </w:rPr>
        <w:t>ese</w:t>
      </w:r>
      <w:r w:rsidRPr="007E5630">
        <w:rPr>
          <w:rFonts w:ascii="Times New Roman" w:hAnsi="Times New Roman" w:cs="Times New Roman"/>
          <w:sz w:val="32"/>
          <w:szCs w:val="32"/>
        </w:rPr>
        <w:t xml:space="preserve"> </w:t>
      </w:r>
      <w:r w:rsidR="00DD2282" w:rsidRPr="007E5630">
        <w:rPr>
          <w:rFonts w:ascii="Times New Roman" w:hAnsi="Times New Roman" w:cs="Times New Roman"/>
          <w:sz w:val="32"/>
          <w:szCs w:val="32"/>
        </w:rPr>
        <w:t>report</w:t>
      </w:r>
      <w:r w:rsidR="00A9201E">
        <w:rPr>
          <w:rFonts w:ascii="Times New Roman" w:hAnsi="Times New Roman" w:cs="Times New Roman"/>
          <w:sz w:val="32"/>
          <w:szCs w:val="32"/>
        </w:rPr>
        <w:t>s</w:t>
      </w:r>
      <w:r w:rsidRPr="007E5630">
        <w:rPr>
          <w:rFonts w:ascii="Times New Roman" w:hAnsi="Times New Roman" w:cs="Times New Roman"/>
          <w:sz w:val="32"/>
          <w:szCs w:val="32"/>
        </w:rPr>
        <w:t xml:space="preserve">, we developed </w:t>
      </w:r>
      <w:r w:rsidR="00A9201E">
        <w:rPr>
          <w:rFonts w:ascii="Times New Roman" w:hAnsi="Times New Roman" w:cs="Times New Roman"/>
          <w:sz w:val="32"/>
          <w:szCs w:val="32"/>
        </w:rPr>
        <w:t>five</w:t>
      </w:r>
      <w:r w:rsidR="00535B79">
        <w:rPr>
          <w:rFonts w:ascii="Times New Roman" w:hAnsi="Times New Roman" w:cs="Times New Roman"/>
          <w:sz w:val="32"/>
          <w:szCs w:val="32"/>
        </w:rPr>
        <w:t xml:space="preserve"> matters for legislative consideration and </w:t>
      </w:r>
      <w:r w:rsidR="00A9201E">
        <w:rPr>
          <w:rFonts w:ascii="Times New Roman" w:hAnsi="Times New Roman" w:cs="Times New Roman"/>
          <w:sz w:val="32"/>
          <w:szCs w:val="32"/>
        </w:rPr>
        <w:t>17</w:t>
      </w:r>
      <w:r w:rsidR="003155A3" w:rsidRPr="007E5630">
        <w:rPr>
          <w:rFonts w:ascii="Times New Roman" w:hAnsi="Times New Roman" w:cs="Times New Roman"/>
          <w:sz w:val="32"/>
          <w:szCs w:val="32"/>
        </w:rPr>
        <w:t xml:space="preserve"> </w:t>
      </w:r>
      <w:r w:rsidR="008102F5" w:rsidRPr="007E5630">
        <w:rPr>
          <w:rFonts w:ascii="Times New Roman" w:hAnsi="Times New Roman" w:cs="Times New Roman"/>
          <w:sz w:val="32"/>
          <w:szCs w:val="32"/>
        </w:rPr>
        <w:t>recommendations.</w:t>
      </w:r>
    </w:p>
    <w:p w:rsidR="00A9201E" w:rsidRDefault="00A9201E" w:rsidP="007E5630">
      <w:pPr>
        <w:pStyle w:val="NoSpacing"/>
        <w:rPr>
          <w:rFonts w:ascii="Times New Roman" w:hAnsi="Times New Roman" w:cs="Times New Roman"/>
          <w:sz w:val="32"/>
          <w:szCs w:val="32"/>
        </w:rPr>
      </w:pPr>
    </w:p>
    <w:p w:rsidR="00A9201E" w:rsidRPr="00493643" w:rsidRDefault="00A9201E" w:rsidP="00493643">
      <w:pPr>
        <w:pStyle w:val="NoSpacing"/>
        <w:rPr>
          <w:rFonts w:ascii="Times New Roman" w:hAnsi="Times New Roman" w:cs="Times New Roman"/>
          <w:sz w:val="32"/>
          <w:szCs w:val="32"/>
        </w:rPr>
      </w:pPr>
      <w:r>
        <w:rPr>
          <w:rFonts w:ascii="Times New Roman" w:hAnsi="Times New Roman" w:cs="Times New Roman"/>
          <w:sz w:val="32"/>
          <w:szCs w:val="32"/>
        </w:rPr>
        <w:t xml:space="preserve">We suggested the Legislature </w:t>
      </w:r>
      <w:r w:rsidR="00493643">
        <w:rPr>
          <w:rFonts w:ascii="Times New Roman" w:hAnsi="Times New Roman" w:cs="Times New Roman"/>
          <w:color w:val="040404"/>
          <w:sz w:val="32"/>
          <w:szCs w:val="32"/>
        </w:rPr>
        <w:t>revise</w:t>
      </w:r>
      <w:r w:rsidRPr="00493643">
        <w:rPr>
          <w:rFonts w:ascii="Times New Roman" w:hAnsi="Times New Roman" w:cs="Times New Roman"/>
          <w:color w:val="040404"/>
          <w:sz w:val="32"/>
          <w:szCs w:val="32"/>
        </w:rPr>
        <w:t xml:space="preserve"> state law to lower the minimum site restoration recovery cost and/or allow </w:t>
      </w:r>
      <w:r w:rsidR="00EE420E">
        <w:rPr>
          <w:rFonts w:ascii="Times New Roman" w:hAnsi="Times New Roman" w:cs="Times New Roman"/>
          <w:color w:val="040404"/>
          <w:sz w:val="32"/>
          <w:szCs w:val="32"/>
        </w:rPr>
        <w:t>site specific trust account</w:t>
      </w:r>
      <w:r w:rsidRPr="00493643">
        <w:rPr>
          <w:rFonts w:ascii="Times New Roman" w:hAnsi="Times New Roman" w:cs="Times New Roman"/>
          <w:color w:val="040404"/>
          <w:sz w:val="32"/>
          <w:szCs w:val="32"/>
        </w:rPr>
        <w:t xml:space="preserve">s </w:t>
      </w:r>
      <w:r w:rsidR="00EE420E">
        <w:rPr>
          <w:rFonts w:ascii="Times New Roman" w:hAnsi="Times New Roman" w:cs="Times New Roman"/>
          <w:color w:val="040404"/>
          <w:sz w:val="32"/>
          <w:szCs w:val="32"/>
        </w:rPr>
        <w:t xml:space="preserve">to </w:t>
      </w:r>
      <w:r w:rsidRPr="00493643">
        <w:rPr>
          <w:rFonts w:ascii="Times New Roman" w:hAnsi="Times New Roman" w:cs="Times New Roman"/>
          <w:color w:val="040404"/>
          <w:sz w:val="32"/>
          <w:szCs w:val="32"/>
        </w:rPr>
        <w:t xml:space="preserve">be established </w:t>
      </w:r>
      <w:r w:rsidR="00357DB1">
        <w:rPr>
          <w:rFonts w:ascii="Times New Roman" w:hAnsi="Times New Roman" w:cs="Times New Roman"/>
          <w:color w:val="040404"/>
          <w:sz w:val="32"/>
          <w:szCs w:val="32"/>
        </w:rPr>
        <w:t xml:space="preserve">to secure wells </w:t>
      </w:r>
      <w:r w:rsidRPr="00493643">
        <w:rPr>
          <w:rFonts w:ascii="Times New Roman" w:hAnsi="Times New Roman" w:cs="Times New Roman"/>
          <w:color w:val="040404"/>
          <w:sz w:val="32"/>
          <w:szCs w:val="32"/>
        </w:rPr>
        <w:t xml:space="preserve">in other situations </w:t>
      </w:r>
      <w:r w:rsidR="00EE420E">
        <w:rPr>
          <w:rFonts w:ascii="Times New Roman" w:hAnsi="Times New Roman" w:cs="Times New Roman"/>
          <w:color w:val="040404"/>
          <w:sz w:val="32"/>
          <w:szCs w:val="32"/>
        </w:rPr>
        <w:t>besides</w:t>
      </w:r>
      <w:r w:rsidRPr="00493643">
        <w:rPr>
          <w:rFonts w:ascii="Times New Roman" w:hAnsi="Times New Roman" w:cs="Times New Roman"/>
          <w:color w:val="040404"/>
          <w:sz w:val="32"/>
          <w:szCs w:val="32"/>
        </w:rPr>
        <w:t xml:space="preserve"> transfer to a new operator.</w:t>
      </w:r>
    </w:p>
    <w:p w:rsidR="00A9201E" w:rsidRPr="00493643" w:rsidRDefault="00A9201E" w:rsidP="00493643">
      <w:pPr>
        <w:pStyle w:val="NoSpacing"/>
        <w:rPr>
          <w:rFonts w:ascii="Times New Roman" w:hAnsi="Times New Roman" w:cs="Times New Roman"/>
          <w:color w:val="040404"/>
          <w:sz w:val="32"/>
          <w:szCs w:val="32"/>
        </w:rPr>
      </w:pPr>
    </w:p>
    <w:p w:rsidR="00A9201E" w:rsidRPr="00493643" w:rsidRDefault="00493643" w:rsidP="00493643">
      <w:pPr>
        <w:pStyle w:val="NoSpacing"/>
        <w:rPr>
          <w:rFonts w:ascii="Times New Roman" w:hAnsi="Times New Roman" w:cs="Times New Roman"/>
          <w:sz w:val="32"/>
          <w:szCs w:val="32"/>
        </w:rPr>
      </w:pPr>
      <w:r w:rsidRPr="00493643">
        <w:rPr>
          <w:rFonts w:ascii="Times New Roman" w:hAnsi="Times New Roman" w:cs="Times New Roman"/>
          <w:sz w:val="32"/>
          <w:szCs w:val="32"/>
        </w:rPr>
        <w:lastRenderedPageBreak/>
        <w:t xml:space="preserve">We also suggested the Legislature </w:t>
      </w:r>
      <w:r w:rsidR="00A9201E" w:rsidRPr="00493643">
        <w:rPr>
          <w:rFonts w:ascii="Times New Roman" w:hAnsi="Times New Roman" w:cs="Times New Roman"/>
          <w:sz w:val="32"/>
          <w:szCs w:val="32"/>
        </w:rPr>
        <w:t>remov</w:t>
      </w:r>
      <w:r w:rsidRPr="00493643">
        <w:rPr>
          <w:rFonts w:ascii="Times New Roman" w:hAnsi="Times New Roman" w:cs="Times New Roman"/>
          <w:sz w:val="32"/>
          <w:szCs w:val="32"/>
        </w:rPr>
        <w:t>e</w:t>
      </w:r>
      <w:r w:rsidR="00A9201E" w:rsidRPr="00493643">
        <w:rPr>
          <w:rFonts w:ascii="Times New Roman" w:hAnsi="Times New Roman" w:cs="Times New Roman"/>
          <w:sz w:val="32"/>
          <w:szCs w:val="32"/>
        </w:rPr>
        <w:t xml:space="preserve"> the $14 million cap on the OSR Fund or increas</w:t>
      </w:r>
      <w:r>
        <w:rPr>
          <w:rFonts w:ascii="Times New Roman" w:hAnsi="Times New Roman" w:cs="Times New Roman"/>
          <w:sz w:val="32"/>
          <w:szCs w:val="32"/>
        </w:rPr>
        <w:t>e</w:t>
      </w:r>
      <w:r w:rsidR="00A9201E" w:rsidRPr="00493643">
        <w:rPr>
          <w:rFonts w:ascii="Times New Roman" w:hAnsi="Times New Roman" w:cs="Times New Roman"/>
          <w:sz w:val="32"/>
          <w:szCs w:val="32"/>
        </w:rPr>
        <w:t xml:space="preserve"> it based on the total estimated costs to plug orphaned wells</w:t>
      </w:r>
      <w:r w:rsidR="00EE420E">
        <w:rPr>
          <w:rFonts w:ascii="Times New Roman" w:hAnsi="Times New Roman" w:cs="Times New Roman"/>
          <w:sz w:val="32"/>
          <w:szCs w:val="32"/>
        </w:rPr>
        <w:t>,</w:t>
      </w:r>
      <w:r>
        <w:rPr>
          <w:rFonts w:ascii="Times New Roman" w:hAnsi="Times New Roman" w:cs="Times New Roman"/>
          <w:sz w:val="32"/>
          <w:szCs w:val="32"/>
        </w:rPr>
        <w:t xml:space="preserve"> and </w:t>
      </w:r>
      <w:r w:rsidRPr="00493643">
        <w:rPr>
          <w:rFonts w:ascii="Times New Roman" w:hAnsi="Times New Roman" w:cs="Times New Roman"/>
          <w:sz w:val="32"/>
          <w:szCs w:val="32"/>
        </w:rPr>
        <w:t>increase</w:t>
      </w:r>
      <w:r w:rsidR="00A9201E" w:rsidRPr="00493643">
        <w:rPr>
          <w:rFonts w:ascii="Times New Roman" w:hAnsi="Times New Roman" w:cs="Times New Roman"/>
          <w:sz w:val="32"/>
          <w:szCs w:val="32"/>
        </w:rPr>
        <w:t xml:space="preserve"> the production fee for gas wells or establish a variable fee based on the market price of gas.</w:t>
      </w:r>
      <w:r w:rsidR="00A9201E" w:rsidRPr="00493643" w:rsidDel="002923EC">
        <w:rPr>
          <w:rFonts w:ascii="Times New Roman" w:hAnsi="Times New Roman" w:cs="Times New Roman"/>
          <w:color w:val="100E0F"/>
          <w:sz w:val="32"/>
          <w:szCs w:val="32"/>
        </w:rPr>
        <w:t xml:space="preserve"> </w:t>
      </w:r>
    </w:p>
    <w:p w:rsidR="00A9201E" w:rsidRDefault="00A9201E" w:rsidP="00493643">
      <w:pPr>
        <w:pStyle w:val="NoSpacing"/>
        <w:rPr>
          <w:rFonts w:ascii="Times New Roman" w:hAnsi="Times New Roman" w:cs="Times New Roman"/>
          <w:color w:val="100E0F"/>
          <w:sz w:val="32"/>
          <w:szCs w:val="32"/>
        </w:rPr>
      </w:pPr>
    </w:p>
    <w:p w:rsidR="00A9201E" w:rsidRPr="00493643" w:rsidRDefault="00493643" w:rsidP="00493643">
      <w:pPr>
        <w:pStyle w:val="NoSpacing"/>
        <w:rPr>
          <w:rFonts w:ascii="Times New Roman" w:hAnsi="Times New Roman" w:cs="Times New Roman"/>
          <w:color w:val="100E0F"/>
          <w:sz w:val="32"/>
          <w:szCs w:val="32"/>
        </w:rPr>
      </w:pPr>
      <w:r>
        <w:rPr>
          <w:rFonts w:ascii="Times New Roman" w:hAnsi="Times New Roman" w:cs="Times New Roman"/>
          <w:color w:val="100E0F"/>
          <w:sz w:val="32"/>
          <w:szCs w:val="32"/>
        </w:rPr>
        <w:t xml:space="preserve">We suggested as well that the Legislature provide </w:t>
      </w:r>
      <w:r w:rsidR="00A9201E" w:rsidRPr="00493643">
        <w:rPr>
          <w:rFonts w:ascii="Times New Roman" w:hAnsi="Times New Roman" w:cs="Times New Roman"/>
          <w:color w:val="100E0F"/>
          <w:sz w:val="32"/>
          <w:szCs w:val="32"/>
        </w:rPr>
        <w:t>the OSR program additional budget flexibility to allow OSR to spend collected financial security to plug wells without the expenditures decreasing revenue from other sources that OSR can spend.</w:t>
      </w:r>
    </w:p>
    <w:p w:rsidR="00A9201E" w:rsidRPr="00493643" w:rsidRDefault="00A9201E" w:rsidP="00493643">
      <w:pPr>
        <w:pStyle w:val="NoSpacing"/>
        <w:rPr>
          <w:rFonts w:ascii="Times New Roman" w:hAnsi="Times New Roman" w:cs="Times New Roman"/>
          <w:sz w:val="32"/>
          <w:szCs w:val="32"/>
        </w:rPr>
      </w:pPr>
    </w:p>
    <w:p w:rsidR="00493643" w:rsidRPr="00493643" w:rsidRDefault="00493643" w:rsidP="00493643">
      <w:pPr>
        <w:pStyle w:val="NoSpacing"/>
        <w:rPr>
          <w:rFonts w:ascii="Times New Roman" w:hAnsi="Times New Roman" w:cs="Times New Roman"/>
          <w:color w:val="100E0F"/>
          <w:sz w:val="32"/>
          <w:szCs w:val="32"/>
        </w:rPr>
      </w:pPr>
      <w:r w:rsidRPr="00493643">
        <w:rPr>
          <w:rFonts w:ascii="Times New Roman" w:hAnsi="Times New Roman" w:cs="Times New Roman"/>
          <w:sz w:val="32"/>
          <w:szCs w:val="32"/>
        </w:rPr>
        <w:t xml:space="preserve">Additionally, we suggested the Legislature authorize DENR or another governmental entity to perform LORA’s function in order to minimize administrative costs and maximize the number of orphaned wells plugged. </w:t>
      </w:r>
    </w:p>
    <w:p w:rsidR="00493643" w:rsidRDefault="00493643" w:rsidP="00493643">
      <w:pPr>
        <w:pStyle w:val="NoSpacing"/>
        <w:rPr>
          <w:rFonts w:ascii="Times New Roman" w:hAnsi="Times New Roman" w:cs="Times New Roman"/>
          <w:sz w:val="32"/>
          <w:szCs w:val="32"/>
        </w:rPr>
      </w:pPr>
    </w:p>
    <w:p w:rsidR="00493643" w:rsidRPr="00493643" w:rsidRDefault="00493643" w:rsidP="00493643">
      <w:pPr>
        <w:pStyle w:val="NoSpacing"/>
        <w:rPr>
          <w:rFonts w:ascii="Times New Roman" w:hAnsi="Times New Roman" w:cs="Times New Roman"/>
          <w:sz w:val="32"/>
          <w:szCs w:val="32"/>
        </w:rPr>
      </w:pPr>
      <w:r>
        <w:rPr>
          <w:rFonts w:ascii="Times New Roman" w:hAnsi="Times New Roman" w:cs="Times New Roman"/>
          <w:sz w:val="32"/>
          <w:szCs w:val="32"/>
        </w:rPr>
        <w:t xml:space="preserve">We recommended that DENR establish time periods to review individual and blanket security amounts </w:t>
      </w:r>
      <w:r w:rsidR="00A90E68">
        <w:rPr>
          <w:rFonts w:ascii="Times New Roman" w:hAnsi="Times New Roman" w:cs="Times New Roman"/>
          <w:sz w:val="32"/>
          <w:szCs w:val="32"/>
        </w:rPr>
        <w:t xml:space="preserve">for orphaned wells </w:t>
      </w:r>
      <w:r>
        <w:rPr>
          <w:rFonts w:ascii="Times New Roman" w:hAnsi="Times New Roman" w:cs="Times New Roman"/>
          <w:sz w:val="32"/>
          <w:szCs w:val="32"/>
        </w:rPr>
        <w:t xml:space="preserve">to provide updated information, implement a consistent policy to grant exceptions for inactive well fees, and implement additional restrictions on inactive wells to prevent them from remaining inactive indefinitely. </w:t>
      </w:r>
    </w:p>
    <w:p w:rsidR="00A9201E" w:rsidRDefault="00A9201E" w:rsidP="00493643">
      <w:pPr>
        <w:pStyle w:val="NoSpacing"/>
        <w:rPr>
          <w:rFonts w:ascii="Times New Roman" w:hAnsi="Times New Roman" w:cs="Times New Roman"/>
          <w:b/>
          <w:color w:val="040404"/>
          <w:sz w:val="32"/>
          <w:szCs w:val="32"/>
        </w:rPr>
      </w:pPr>
    </w:p>
    <w:p w:rsidR="00A90E68" w:rsidRPr="00493643" w:rsidRDefault="00EE420E" w:rsidP="00493643">
      <w:pPr>
        <w:pStyle w:val="NoSpacing"/>
        <w:rPr>
          <w:rFonts w:ascii="Times New Roman" w:hAnsi="Times New Roman" w:cs="Times New Roman"/>
          <w:sz w:val="32"/>
          <w:szCs w:val="32"/>
        </w:rPr>
      </w:pPr>
      <w:r>
        <w:rPr>
          <w:rFonts w:ascii="Times New Roman" w:hAnsi="Times New Roman" w:cs="Times New Roman"/>
          <w:sz w:val="32"/>
          <w:szCs w:val="32"/>
        </w:rPr>
        <w:t>Another 12</w:t>
      </w:r>
      <w:r w:rsidR="00A90E68">
        <w:rPr>
          <w:rFonts w:ascii="Times New Roman" w:hAnsi="Times New Roman" w:cs="Times New Roman"/>
          <w:sz w:val="32"/>
          <w:szCs w:val="32"/>
        </w:rPr>
        <w:t xml:space="preserve"> recommendations focused on the cooperative endeavor agreement and what changes should be considered to strengthen </w:t>
      </w:r>
      <w:r w:rsidR="00A932BD">
        <w:rPr>
          <w:rFonts w:ascii="Times New Roman" w:hAnsi="Times New Roman" w:cs="Times New Roman"/>
          <w:sz w:val="32"/>
          <w:szCs w:val="32"/>
        </w:rPr>
        <w:t>the CEA</w:t>
      </w:r>
      <w:r w:rsidR="00A90E68">
        <w:rPr>
          <w:rFonts w:ascii="Times New Roman" w:hAnsi="Times New Roman" w:cs="Times New Roman"/>
          <w:sz w:val="32"/>
          <w:szCs w:val="32"/>
        </w:rPr>
        <w:t xml:space="preserve">, </w:t>
      </w:r>
      <w:r w:rsidR="00A932BD">
        <w:rPr>
          <w:rFonts w:ascii="Times New Roman" w:hAnsi="Times New Roman" w:cs="Times New Roman"/>
          <w:sz w:val="32"/>
          <w:szCs w:val="32"/>
        </w:rPr>
        <w:t xml:space="preserve">improve DENR’s monitoring efforts, </w:t>
      </w:r>
      <w:r w:rsidR="00A90E68">
        <w:rPr>
          <w:rFonts w:ascii="Times New Roman" w:hAnsi="Times New Roman" w:cs="Times New Roman"/>
          <w:sz w:val="32"/>
          <w:szCs w:val="32"/>
        </w:rPr>
        <w:t xml:space="preserve">clarify </w:t>
      </w:r>
      <w:r w:rsidR="00A932BD">
        <w:rPr>
          <w:rFonts w:ascii="Times New Roman" w:hAnsi="Times New Roman" w:cs="Times New Roman"/>
          <w:sz w:val="32"/>
          <w:szCs w:val="32"/>
        </w:rPr>
        <w:t>LORA’s administrative processes,</w:t>
      </w:r>
      <w:r w:rsidR="00A90E68">
        <w:rPr>
          <w:rFonts w:ascii="Times New Roman" w:hAnsi="Times New Roman" w:cs="Times New Roman"/>
          <w:sz w:val="32"/>
          <w:szCs w:val="32"/>
        </w:rPr>
        <w:t xml:space="preserve"> and reduce risks to the state.</w:t>
      </w:r>
    </w:p>
    <w:p w:rsidR="00A9201E" w:rsidRPr="00A932BD" w:rsidRDefault="00A9201E" w:rsidP="00493643">
      <w:pPr>
        <w:pStyle w:val="NoSpacing"/>
        <w:rPr>
          <w:rFonts w:ascii="Times New Roman" w:hAnsi="Times New Roman" w:cs="Times New Roman"/>
          <w:sz w:val="32"/>
          <w:szCs w:val="32"/>
        </w:rPr>
      </w:pPr>
    </w:p>
    <w:p w:rsidR="00A932BD" w:rsidRPr="00A932BD" w:rsidRDefault="00A932BD" w:rsidP="00493643">
      <w:pPr>
        <w:pStyle w:val="NoSpacing"/>
        <w:rPr>
          <w:rFonts w:ascii="Times New Roman" w:hAnsi="Times New Roman" w:cs="Times New Roman"/>
          <w:color w:val="100E0F"/>
          <w:sz w:val="32"/>
          <w:szCs w:val="32"/>
        </w:rPr>
      </w:pPr>
      <w:r w:rsidRPr="00A932BD">
        <w:rPr>
          <w:rFonts w:ascii="Times New Roman" w:hAnsi="Times New Roman" w:cs="Times New Roman"/>
          <w:color w:val="100E0F"/>
          <w:sz w:val="32"/>
          <w:szCs w:val="32"/>
        </w:rPr>
        <w:t xml:space="preserve">We also recommended DENR re-evaluate the benefits of spending or not spending reserve funds to plug orphaned wells when the reserve fund falls below $5 million dollars </w:t>
      </w:r>
      <w:r w:rsidR="00EE420E">
        <w:rPr>
          <w:rFonts w:ascii="Times New Roman" w:hAnsi="Times New Roman" w:cs="Times New Roman"/>
          <w:color w:val="100E0F"/>
          <w:sz w:val="32"/>
          <w:szCs w:val="32"/>
        </w:rPr>
        <w:t>so it can</w:t>
      </w:r>
      <w:r w:rsidRPr="00A932BD">
        <w:rPr>
          <w:rFonts w:ascii="Times New Roman" w:hAnsi="Times New Roman" w:cs="Times New Roman"/>
          <w:color w:val="100E0F"/>
          <w:sz w:val="32"/>
          <w:szCs w:val="32"/>
        </w:rPr>
        <w:t xml:space="preserve"> provide guidance to LORA.</w:t>
      </w:r>
    </w:p>
    <w:p w:rsidR="00A932BD" w:rsidRPr="00A932BD" w:rsidRDefault="00A932BD" w:rsidP="00493643">
      <w:pPr>
        <w:pStyle w:val="NoSpacing"/>
        <w:rPr>
          <w:rFonts w:ascii="Times New Roman" w:hAnsi="Times New Roman" w:cs="Times New Roman"/>
          <w:sz w:val="32"/>
          <w:szCs w:val="32"/>
        </w:rPr>
      </w:pPr>
    </w:p>
    <w:p w:rsidR="007E5630" w:rsidRPr="00493643" w:rsidRDefault="00A932BD" w:rsidP="00493643">
      <w:pPr>
        <w:pStyle w:val="NoSpacing"/>
        <w:rPr>
          <w:rFonts w:ascii="Times New Roman" w:hAnsi="Times New Roman" w:cs="Times New Roman"/>
          <w:sz w:val="32"/>
          <w:szCs w:val="32"/>
        </w:rPr>
      </w:pPr>
      <w:r>
        <w:rPr>
          <w:rFonts w:ascii="Times New Roman" w:hAnsi="Times New Roman" w:cs="Times New Roman"/>
          <w:sz w:val="32"/>
          <w:szCs w:val="32"/>
        </w:rPr>
        <w:t xml:space="preserve">Finally, we recommended that OC </w:t>
      </w:r>
      <w:r w:rsidR="00493643" w:rsidRPr="00493643">
        <w:rPr>
          <w:rFonts w:ascii="Times New Roman" w:hAnsi="Times New Roman" w:cs="Times New Roman"/>
          <w:sz w:val="32"/>
          <w:szCs w:val="32"/>
        </w:rPr>
        <w:t xml:space="preserve">monitor how LORA’s costs to plug wells compare to those of </w:t>
      </w:r>
      <w:r>
        <w:rPr>
          <w:rFonts w:ascii="Times New Roman" w:hAnsi="Times New Roman" w:cs="Times New Roman"/>
          <w:sz w:val="32"/>
          <w:szCs w:val="32"/>
        </w:rPr>
        <w:t>the Oilfield Site Restoration Program</w:t>
      </w:r>
      <w:r w:rsidR="00493643" w:rsidRPr="00493643">
        <w:rPr>
          <w:rFonts w:ascii="Times New Roman" w:hAnsi="Times New Roman" w:cs="Times New Roman"/>
          <w:sz w:val="32"/>
          <w:szCs w:val="32"/>
        </w:rPr>
        <w:t xml:space="preserve"> to evaluate whether LORA’s benefit to the state justifies the risks posed by LORA providing financial security.</w:t>
      </w:r>
    </w:p>
    <w:p w:rsidR="007E5630" w:rsidRPr="00493643" w:rsidRDefault="007E5630" w:rsidP="00493643">
      <w:pPr>
        <w:pStyle w:val="NoSpacing"/>
        <w:rPr>
          <w:rFonts w:ascii="Times New Roman" w:hAnsi="Times New Roman" w:cs="Times New Roman"/>
          <w:sz w:val="32"/>
          <w:szCs w:val="32"/>
        </w:rPr>
      </w:pPr>
    </w:p>
    <w:p w:rsidR="00C10DA7" w:rsidRPr="007E5630" w:rsidRDefault="00C10DA7" w:rsidP="007E5630">
      <w:pPr>
        <w:pStyle w:val="NoSpacing"/>
        <w:rPr>
          <w:rFonts w:ascii="Times New Roman" w:hAnsi="Times New Roman" w:cs="Times New Roman"/>
          <w:sz w:val="32"/>
          <w:szCs w:val="32"/>
        </w:rPr>
      </w:pPr>
      <w:r w:rsidRPr="007E5630">
        <w:rPr>
          <w:rFonts w:ascii="Times New Roman" w:hAnsi="Times New Roman" w:cs="Times New Roman"/>
          <w:sz w:val="32"/>
          <w:szCs w:val="32"/>
        </w:rPr>
        <w:lastRenderedPageBreak/>
        <w:t xml:space="preserve">As part of its response, which is included in the report as Appendix A, </w:t>
      </w:r>
      <w:r w:rsidR="007E5630" w:rsidRPr="007E5630">
        <w:rPr>
          <w:rFonts w:ascii="Times New Roman" w:hAnsi="Times New Roman" w:cs="Times New Roman"/>
          <w:sz w:val="32"/>
          <w:szCs w:val="32"/>
        </w:rPr>
        <w:t xml:space="preserve">the </w:t>
      </w:r>
      <w:r w:rsidR="00535B79">
        <w:rPr>
          <w:rFonts w:ascii="Times New Roman" w:hAnsi="Times New Roman" w:cs="Times New Roman"/>
          <w:sz w:val="32"/>
          <w:szCs w:val="32"/>
        </w:rPr>
        <w:t>Department of Energy and Natural Resources</w:t>
      </w:r>
      <w:r w:rsidR="00E15AC9" w:rsidRPr="007E5630">
        <w:rPr>
          <w:rFonts w:ascii="Times New Roman" w:hAnsi="Times New Roman" w:cs="Times New Roman"/>
          <w:sz w:val="32"/>
          <w:szCs w:val="32"/>
        </w:rPr>
        <w:t xml:space="preserve"> agreed with </w:t>
      </w:r>
      <w:r w:rsidR="007E5630" w:rsidRPr="007E5630">
        <w:rPr>
          <w:rFonts w:ascii="Times New Roman" w:hAnsi="Times New Roman" w:cs="Times New Roman"/>
          <w:sz w:val="32"/>
          <w:szCs w:val="32"/>
        </w:rPr>
        <w:t xml:space="preserve">all </w:t>
      </w:r>
      <w:r w:rsidR="00A9201E">
        <w:rPr>
          <w:rFonts w:ascii="Times New Roman" w:hAnsi="Times New Roman" w:cs="Times New Roman"/>
          <w:sz w:val="32"/>
          <w:szCs w:val="32"/>
        </w:rPr>
        <w:t xml:space="preserve">17 </w:t>
      </w:r>
      <w:r w:rsidR="00E15AC9" w:rsidRPr="007E5630">
        <w:rPr>
          <w:rFonts w:ascii="Times New Roman" w:hAnsi="Times New Roman" w:cs="Times New Roman"/>
          <w:sz w:val="32"/>
          <w:szCs w:val="32"/>
        </w:rPr>
        <w:t>of the recommendations.</w:t>
      </w:r>
      <w:r w:rsidR="00E524D4" w:rsidRPr="007E5630">
        <w:rPr>
          <w:rFonts w:ascii="Times New Roman" w:hAnsi="Times New Roman" w:cs="Times New Roman"/>
          <w:sz w:val="32"/>
          <w:szCs w:val="32"/>
        </w:rPr>
        <w:t xml:space="preserve"> </w:t>
      </w:r>
    </w:p>
    <w:p w:rsidR="00BD030E" w:rsidRPr="007E5630" w:rsidRDefault="00BD030E" w:rsidP="007E5630">
      <w:pPr>
        <w:pStyle w:val="NoSpacing"/>
        <w:rPr>
          <w:rFonts w:ascii="Times New Roman" w:hAnsi="Times New Roman" w:cs="Times New Roman"/>
          <w:sz w:val="32"/>
          <w:szCs w:val="32"/>
        </w:rPr>
      </w:pPr>
    </w:p>
    <w:p w:rsidR="001D4AA7" w:rsidRPr="00E332CC" w:rsidRDefault="001D4AA7" w:rsidP="001D4AA7">
      <w:pPr>
        <w:pStyle w:val="NoSpacing"/>
        <w:rPr>
          <w:rFonts w:ascii="Times New Roman" w:eastAsia="Times New Roman" w:hAnsi="Times New Roman" w:cs="Times New Roman"/>
          <w:i/>
          <w:color w:val="000000"/>
          <w:sz w:val="32"/>
          <w:szCs w:val="32"/>
        </w:rPr>
      </w:pPr>
      <w:r w:rsidRPr="00E332CC">
        <w:rPr>
          <w:rFonts w:ascii="Times New Roman" w:eastAsia="Times New Roman" w:hAnsi="Times New Roman" w:cs="Times New Roman"/>
          <w:i/>
          <w:color w:val="000000"/>
          <w:sz w:val="32"/>
          <w:szCs w:val="32"/>
        </w:rPr>
        <w:t>We hope you found this podcast informative, and that you’ll follow future episodes of LLA Reports.</w:t>
      </w:r>
    </w:p>
    <w:p w:rsidR="001D4AA7" w:rsidRPr="00E332CC" w:rsidRDefault="001D4AA7" w:rsidP="001D4AA7">
      <w:pPr>
        <w:pStyle w:val="NoSpacing"/>
        <w:rPr>
          <w:rFonts w:ascii="Times New Roman" w:eastAsia="Times New Roman" w:hAnsi="Times New Roman" w:cs="Times New Roman"/>
          <w:i/>
          <w:color w:val="000000"/>
          <w:sz w:val="32"/>
          <w:szCs w:val="32"/>
        </w:rPr>
      </w:pPr>
    </w:p>
    <w:p w:rsidR="00AD7A62"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This podcast was created as part of the audit report</w:t>
      </w:r>
      <w:r w:rsidR="00A9201E">
        <w:rPr>
          <w:rFonts w:ascii="Times New Roman" w:eastAsia="Times New Roman" w:hAnsi="Times New Roman" w:cs="Times New Roman"/>
          <w:i/>
          <w:color w:val="000000"/>
          <w:sz w:val="32"/>
          <w:szCs w:val="32"/>
        </w:rPr>
        <w:t>s</w:t>
      </w:r>
      <w:r>
        <w:rPr>
          <w:rFonts w:ascii="Times New Roman" w:eastAsia="Times New Roman" w:hAnsi="Times New Roman" w:cs="Times New Roman"/>
          <w:i/>
          <w:color w:val="000000"/>
          <w:sz w:val="32"/>
          <w:szCs w:val="32"/>
        </w:rPr>
        <w:t xml:space="preserve"> just discussed and is intended primarily for the use of the Louisiana Legislature. Both the full report</w:t>
      </w:r>
      <w:r w:rsidR="00A9201E">
        <w:rPr>
          <w:rFonts w:ascii="Times New Roman" w:eastAsia="Times New Roman" w:hAnsi="Times New Roman" w:cs="Times New Roman"/>
          <w:i/>
          <w:color w:val="000000"/>
          <w:sz w:val="32"/>
          <w:szCs w:val="32"/>
        </w:rPr>
        <w:t>s</w:t>
      </w:r>
      <w:r>
        <w:rPr>
          <w:rFonts w:ascii="Times New Roman" w:eastAsia="Times New Roman" w:hAnsi="Times New Roman" w:cs="Times New Roman"/>
          <w:i/>
          <w:color w:val="000000"/>
          <w:sz w:val="32"/>
          <w:szCs w:val="32"/>
        </w:rPr>
        <w:t xml:space="preserve"> and the podcast can be found on the LLA’s website at </w:t>
      </w:r>
      <w:hyperlink r:id="rId8" w:history="1">
        <w:r>
          <w:rPr>
            <w:rStyle w:val="Hyperlink"/>
            <w:rFonts w:ascii="Times New Roman" w:eastAsia="Times New Roman" w:hAnsi="Times New Roman" w:cs="Times New Roman"/>
            <w:i/>
            <w:sz w:val="32"/>
            <w:szCs w:val="32"/>
          </w:rPr>
          <w:t>www.lla.la.gov</w:t>
        </w:r>
      </w:hyperlink>
      <w:r>
        <w:rPr>
          <w:rFonts w:ascii="Times New Roman" w:eastAsia="Times New Roman" w:hAnsi="Times New Roman" w:cs="Times New Roman"/>
          <w:i/>
          <w:color w:val="000000"/>
          <w:sz w:val="32"/>
          <w:szCs w:val="32"/>
        </w:rPr>
        <w:t xml:space="preserve">. </w:t>
      </w:r>
    </w:p>
    <w:p w:rsidR="00AD7A62" w:rsidRDefault="00AD7A62" w:rsidP="001D4AA7">
      <w:pPr>
        <w:pStyle w:val="NoSpacing"/>
        <w:rPr>
          <w:rFonts w:ascii="Times New Roman" w:eastAsia="Times New Roman" w:hAnsi="Times New Roman" w:cs="Times New Roman"/>
          <w:i/>
          <w:color w:val="000000"/>
          <w:sz w:val="32"/>
          <w:szCs w:val="32"/>
        </w:rPr>
      </w:pPr>
    </w:p>
    <w:p w:rsidR="001D4AA7" w:rsidRPr="00E43133"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Thank you for listening.</w:t>
      </w:r>
    </w:p>
    <w:sectPr w:rsidR="001D4AA7" w:rsidRPr="00E43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190" w:rsidRDefault="00845190" w:rsidP="00806EE3">
      <w:r>
        <w:separator/>
      </w:r>
    </w:p>
  </w:endnote>
  <w:endnote w:type="continuationSeparator" w:id="0">
    <w:p w:rsidR="00845190" w:rsidRDefault="00845190"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190" w:rsidRDefault="00845190" w:rsidP="00806EE3">
      <w:r>
        <w:separator/>
      </w:r>
    </w:p>
  </w:footnote>
  <w:footnote w:type="continuationSeparator" w:id="0">
    <w:p w:rsidR="00845190" w:rsidRDefault="00845190"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21276"/>
    <w:multiLevelType w:val="hybridMultilevel"/>
    <w:tmpl w:val="BBF43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2E3F"/>
    <w:rsid w:val="000310DA"/>
    <w:rsid w:val="000557F8"/>
    <w:rsid w:val="0005689B"/>
    <w:rsid w:val="00075716"/>
    <w:rsid w:val="000767E5"/>
    <w:rsid w:val="00084C32"/>
    <w:rsid w:val="00084CA3"/>
    <w:rsid w:val="000971DC"/>
    <w:rsid w:val="000A05D8"/>
    <w:rsid w:val="000A5A73"/>
    <w:rsid w:val="000C6C2A"/>
    <w:rsid w:val="000C73AD"/>
    <w:rsid w:val="000E7E3D"/>
    <w:rsid w:val="000F4913"/>
    <w:rsid w:val="001203D6"/>
    <w:rsid w:val="00122FA1"/>
    <w:rsid w:val="0013500F"/>
    <w:rsid w:val="00151946"/>
    <w:rsid w:val="0016768C"/>
    <w:rsid w:val="0017612C"/>
    <w:rsid w:val="00184DAF"/>
    <w:rsid w:val="00192D0C"/>
    <w:rsid w:val="001B66C5"/>
    <w:rsid w:val="001C75AF"/>
    <w:rsid w:val="001D182B"/>
    <w:rsid w:val="001D4AA7"/>
    <w:rsid w:val="001E5B45"/>
    <w:rsid w:val="001E62F9"/>
    <w:rsid w:val="001E6AFF"/>
    <w:rsid w:val="001E6E98"/>
    <w:rsid w:val="001F075C"/>
    <w:rsid w:val="00206E84"/>
    <w:rsid w:val="00214576"/>
    <w:rsid w:val="002239CA"/>
    <w:rsid w:val="00254029"/>
    <w:rsid w:val="00276113"/>
    <w:rsid w:val="00284964"/>
    <w:rsid w:val="002859FB"/>
    <w:rsid w:val="002A4115"/>
    <w:rsid w:val="002C7EF3"/>
    <w:rsid w:val="002D2D2C"/>
    <w:rsid w:val="002D3303"/>
    <w:rsid w:val="002E70FD"/>
    <w:rsid w:val="0031067C"/>
    <w:rsid w:val="00314223"/>
    <w:rsid w:val="0031438C"/>
    <w:rsid w:val="00314A58"/>
    <w:rsid w:val="003155A3"/>
    <w:rsid w:val="00327B71"/>
    <w:rsid w:val="00327D1E"/>
    <w:rsid w:val="003356A0"/>
    <w:rsid w:val="00355783"/>
    <w:rsid w:val="00357DB1"/>
    <w:rsid w:val="0036122A"/>
    <w:rsid w:val="00364903"/>
    <w:rsid w:val="00367130"/>
    <w:rsid w:val="003675AA"/>
    <w:rsid w:val="00372282"/>
    <w:rsid w:val="00372F07"/>
    <w:rsid w:val="00377656"/>
    <w:rsid w:val="003968B8"/>
    <w:rsid w:val="003B6104"/>
    <w:rsid w:val="003C0DDA"/>
    <w:rsid w:val="003C2B14"/>
    <w:rsid w:val="003C367A"/>
    <w:rsid w:val="003D5350"/>
    <w:rsid w:val="003E76D9"/>
    <w:rsid w:val="003F24E0"/>
    <w:rsid w:val="003F6E8F"/>
    <w:rsid w:val="004124BF"/>
    <w:rsid w:val="004234E7"/>
    <w:rsid w:val="00426B74"/>
    <w:rsid w:val="00432217"/>
    <w:rsid w:val="004343BD"/>
    <w:rsid w:val="00434F71"/>
    <w:rsid w:val="004364FE"/>
    <w:rsid w:val="004376B9"/>
    <w:rsid w:val="0044066A"/>
    <w:rsid w:val="00444E16"/>
    <w:rsid w:val="0045320F"/>
    <w:rsid w:val="00454DDF"/>
    <w:rsid w:val="0046266F"/>
    <w:rsid w:val="00462FDE"/>
    <w:rsid w:val="00465FCD"/>
    <w:rsid w:val="00480618"/>
    <w:rsid w:val="00484CB6"/>
    <w:rsid w:val="00493643"/>
    <w:rsid w:val="004938B5"/>
    <w:rsid w:val="004A0DA9"/>
    <w:rsid w:val="004B4573"/>
    <w:rsid w:val="004B4BEC"/>
    <w:rsid w:val="004C3835"/>
    <w:rsid w:val="004D33C2"/>
    <w:rsid w:val="004D3F5D"/>
    <w:rsid w:val="004E3DAA"/>
    <w:rsid w:val="004E45B7"/>
    <w:rsid w:val="004F11F0"/>
    <w:rsid w:val="004F3956"/>
    <w:rsid w:val="004F5DEE"/>
    <w:rsid w:val="004F623D"/>
    <w:rsid w:val="004F6544"/>
    <w:rsid w:val="005014FA"/>
    <w:rsid w:val="005040FC"/>
    <w:rsid w:val="0051486A"/>
    <w:rsid w:val="00523014"/>
    <w:rsid w:val="00535B79"/>
    <w:rsid w:val="00546DDD"/>
    <w:rsid w:val="00560C52"/>
    <w:rsid w:val="00574EC4"/>
    <w:rsid w:val="005B412C"/>
    <w:rsid w:val="005B7AC4"/>
    <w:rsid w:val="005D4909"/>
    <w:rsid w:val="005D51B7"/>
    <w:rsid w:val="005E433F"/>
    <w:rsid w:val="005F241D"/>
    <w:rsid w:val="005F783D"/>
    <w:rsid w:val="005F7A37"/>
    <w:rsid w:val="0060257E"/>
    <w:rsid w:val="00611B40"/>
    <w:rsid w:val="00632A1C"/>
    <w:rsid w:val="00643ABA"/>
    <w:rsid w:val="006515E4"/>
    <w:rsid w:val="006632C2"/>
    <w:rsid w:val="006744BB"/>
    <w:rsid w:val="00687886"/>
    <w:rsid w:val="006901F6"/>
    <w:rsid w:val="00695E57"/>
    <w:rsid w:val="006A0002"/>
    <w:rsid w:val="006A13DA"/>
    <w:rsid w:val="006A4995"/>
    <w:rsid w:val="006C09CF"/>
    <w:rsid w:val="006C25A4"/>
    <w:rsid w:val="006D4BAB"/>
    <w:rsid w:val="006D5AAA"/>
    <w:rsid w:val="006E72D4"/>
    <w:rsid w:val="006F1D76"/>
    <w:rsid w:val="0070459D"/>
    <w:rsid w:val="00717CE8"/>
    <w:rsid w:val="00722051"/>
    <w:rsid w:val="00725B30"/>
    <w:rsid w:val="00727288"/>
    <w:rsid w:val="00756998"/>
    <w:rsid w:val="00756FD0"/>
    <w:rsid w:val="00760863"/>
    <w:rsid w:val="007616C9"/>
    <w:rsid w:val="00766A16"/>
    <w:rsid w:val="0077174D"/>
    <w:rsid w:val="007950D8"/>
    <w:rsid w:val="00795878"/>
    <w:rsid w:val="007A54F5"/>
    <w:rsid w:val="007B01E1"/>
    <w:rsid w:val="007B0804"/>
    <w:rsid w:val="007C08E9"/>
    <w:rsid w:val="007C0D80"/>
    <w:rsid w:val="007C4B9B"/>
    <w:rsid w:val="007C5558"/>
    <w:rsid w:val="007C6244"/>
    <w:rsid w:val="007E13C3"/>
    <w:rsid w:val="007E41F0"/>
    <w:rsid w:val="007E5630"/>
    <w:rsid w:val="007F12A1"/>
    <w:rsid w:val="007F6466"/>
    <w:rsid w:val="008002E9"/>
    <w:rsid w:val="00804349"/>
    <w:rsid w:val="00806EE3"/>
    <w:rsid w:val="008102F5"/>
    <w:rsid w:val="008221FF"/>
    <w:rsid w:val="00825F61"/>
    <w:rsid w:val="00827F6D"/>
    <w:rsid w:val="00827FEB"/>
    <w:rsid w:val="008322D8"/>
    <w:rsid w:val="0083500E"/>
    <w:rsid w:val="008402EB"/>
    <w:rsid w:val="00845190"/>
    <w:rsid w:val="00846CC1"/>
    <w:rsid w:val="00853843"/>
    <w:rsid w:val="00864574"/>
    <w:rsid w:val="008679ED"/>
    <w:rsid w:val="00867EA1"/>
    <w:rsid w:val="0087427B"/>
    <w:rsid w:val="008A1038"/>
    <w:rsid w:val="008B54C9"/>
    <w:rsid w:val="008D44FB"/>
    <w:rsid w:val="008D4DE7"/>
    <w:rsid w:val="008D6F0D"/>
    <w:rsid w:val="008E0B65"/>
    <w:rsid w:val="008E2EEA"/>
    <w:rsid w:val="008E6602"/>
    <w:rsid w:val="008F0805"/>
    <w:rsid w:val="00900B10"/>
    <w:rsid w:val="009015BD"/>
    <w:rsid w:val="00904FC1"/>
    <w:rsid w:val="009128B5"/>
    <w:rsid w:val="009143CD"/>
    <w:rsid w:val="00921D0F"/>
    <w:rsid w:val="00923BF7"/>
    <w:rsid w:val="00923CEF"/>
    <w:rsid w:val="00935605"/>
    <w:rsid w:val="0094011E"/>
    <w:rsid w:val="00946121"/>
    <w:rsid w:val="009552F9"/>
    <w:rsid w:val="00956AFD"/>
    <w:rsid w:val="009577EE"/>
    <w:rsid w:val="00960723"/>
    <w:rsid w:val="00960973"/>
    <w:rsid w:val="00963D3F"/>
    <w:rsid w:val="00970196"/>
    <w:rsid w:val="009776D8"/>
    <w:rsid w:val="00980519"/>
    <w:rsid w:val="009A0920"/>
    <w:rsid w:val="009A748C"/>
    <w:rsid w:val="009B2EFE"/>
    <w:rsid w:val="009B3E82"/>
    <w:rsid w:val="009B6775"/>
    <w:rsid w:val="009E38B2"/>
    <w:rsid w:val="009F3D60"/>
    <w:rsid w:val="00A04F1D"/>
    <w:rsid w:val="00A209F4"/>
    <w:rsid w:val="00A24DF4"/>
    <w:rsid w:val="00A529F4"/>
    <w:rsid w:val="00A5682B"/>
    <w:rsid w:val="00A63633"/>
    <w:rsid w:val="00A90E68"/>
    <w:rsid w:val="00A9201E"/>
    <w:rsid w:val="00A932BD"/>
    <w:rsid w:val="00AA10F6"/>
    <w:rsid w:val="00AB1CDE"/>
    <w:rsid w:val="00AC29C7"/>
    <w:rsid w:val="00AD1AE7"/>
    <w:rsid w:val="00AD60DD"/>
    <w:rsid w:val="00AD7A62"/>
    <w:rsid w:val="00AE0B4E"/>
    <w:rsid w:val="00AE5D1F"/>
    <w:rsid w:val="00AE68CD"/>
    <w:rsid w:val="00AF4543"/>
    <w:rsid w:val="00B01D01"/>
    <w:rsid w:val="00B04ECA"/>
    <w:rsid w:val="00B30335"/>
    <w:rsid w:val="00B32B4C"/>
    <w:rsid w:val="00B36FFF"/>
    <w:rsid w:val="00B37D05"/>
    <w:rsid w:val="00B41D95"/>
    <w:rsid w:val="00B46415"/>
    <w:rsid w:val="00B51FAE"/>
    <w:rsid w:val="00B6105C"/>
    <w:rsid w:val="00B62B88"/>
    <w:rsid w:val="00B66F54"/>
    <w:rsid w:val="00B75920"/>
    <w:rsid w:val="00B76129"/>
    <w:rsid w:val="00B818FC"/>
    <w:rsid w:val="00B8697D"/>
    <w:rsid w:val="00B942A5"/>
    <w:rsid w:val="00BB483D"/>
    <w:rsid w:val="00BB66D5"/>
    <w:rsid w:val="00BC6C29"/>
    <w:rsid w:val="00BD030E"/>
    <w:rsid w:val="00BD5AB7"/>
    <w:rsid w:val="00BD7299"/>
    <w:rsid w:val="00BE4E73"/>
    <w:rsid w:val="00BE7766"/>
    <w:rsid w:val="00BE7D24"/>
    <w:rsid w:val="00BF556E"/>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6164"/>
    <w:rsid w:val="00C865E0"/>
    <w:rsid w:val="00C86E9F"/>
    <w:rsid w:val="00C9253B"/>
    <w:rsid w:val="00CA2CA9"/>
    <w:rsid w:val="00CA39F2"/>
    <w:rsid w:val="00CB1DBA"/>
    <w:rsid w:val="00CB2B95"/>
    <w:rsid w:val="00CB616F"/>
    <w:rsid w:val="00CC2430"/>
    <w:rsid w:val="00CC6E6D"/>
    <w:rsid w:val="00CD689A"/>
    <w:rsid w:val="00CE69B5"/>
    <w:rsid w:val="00CF06ED"/>
    <w:rsid w:val="00CF65CD"/>
    <w:rsid w:val="00D16DE3"/>
    <w:rsid w:val="00D26935"/>
    <w:rsid w:val="00D27E58"/>
    <w:rsid w:val="00D52BB6"/>
    <w:rsid w:val="00D56374"/>
    <w:rsid w:val="00D6513B"/>
    <w:rsid w:val="00D71F7F"/>
    <w:rsid w:val="00D74B62"/>
    <w:rsid w:val="00D768FF"/>
    <w:rsid w:val="00D77046"/>
    <w:rsid w:val="00D8671F"/>
    <w:rsid w:val="00D93922"/>
    <w:rsid w:val="00D9720B"/>
    <w:rsid w:val="00DD2282"/>
    <w:rsid w:val="00DD6D31"/>
    <w:rsid w:val="00DE014C"/>
    <w:rsid w:val="00DE0B73"/>
    <w:rsid w:val="00DE3311"/>
    <w:rsid w:val="00DE3E10"/>
    <w:rsid w:val="00DE7F1C"/>
    <w:rsid w:val="00DF3C37"/>
    <w:rsid w:val="00E02D0D"/>
    <w:rsid w:val="00E04D3E"/>
    <w:rsid w:val="00E15AC9"/>
    <w:rsid w:val="00E2076D"/>
    <w:rsid w:val="00E22A8E"/>
    <w:rsid w:val="00E332CC"/>
    <w:rsid w:val="00E34B1B"/>
    <w:rsid w:val="00E43133"/>
    <w:rsid w:val="00E43C3B"/>
    <w:rsid w:val="00E5080E"/>
    <w:rsid w:val="00E524D4"/>
    <w:rsid w:val="00E72990"/>
    <w:rsid w:val="00E76B77"/>
    <w:rsid w:val="00E77A9C"/>
    <w:rsid w:val="00E87D02"/>
    <w:rsid w:val="00E908A5"/>
    <w:rsid w:val="00E97414"/>
    <w:rsid w:val="00EA452E"/>
    <w:rsid w:val="00EB3302"/>
    <w:rsid w:val="00EC7C26"/>
    <w:rsid w:val="00EE270E"/>
    <w:rsid w:val="00EE420E"/>
    <w:rsid w:val="00EF6412"/>
    <w:rsid w:val="00EF7A72"/>
    <w:rsid w:val="00F27927"/>
    <w:rsid w:val="00F30BB9"/>
    <w:rsid w:val="00F34FC8"/>
    <w:rsid w:val="00F35ACB"/>
    <w:rsid w:val="00F44796"/>
    <w:rsid w:val="00F53236"/>
    <w:rsid w:val="00F71CAC"/>
    <w:rsid w:val="00F73BDE"/>
    <w:rsid w:val="00F823F9"/>
    <w:rsid w:val="00F847E1"/>
    <w:rsid w:val="00F91746"/>
    <w:rsid w:val="00FA32CF"/>
    <w:rsid w:val="00FA70FF"/>
    <w:rsid w:val="00FB1416"/>
    <w:rsid w:val="00FB6BB9"/>
    <w:rsid w:val="00FC48E9"/>
    <w:rsid w:val="00FD284D"/>
    <w:rsid w:val="00FD74D9"/>
    <w:rsid w:val="00FE0D83"/>
    <w:rsid w:val="00FF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F676"/>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rsid w:val="00806EE3"/>
    <w:rPr>
      <w:sz w:val="20"/>
    </w:rPr>
  </w:style>
  <w:style w:type="character" w:customStyle="1" w:styleId="FootnoteTextChar">
    <w:name w:val="Footnote Text Char"/>
    <w:basedOn w:val="DefaultParagraphFont"/>
    <w:link w:val="FootnoteText"/>
    <w:rsid w:val="00806EE3"/>
    <w:rPr>
      <w:rFonts w:ascii="Times New Roman" w:eastAsia="Times New Roman" w:hAnsi="Times New Roman" w:cs="Times New Roman"/>
      <w:sz w:val="20"/>
      <w:szCs w:val="24"/>
    </w:rPr>
  </w:style>
  <w:style w:type="character" w:styleId="FootnoteReference">
    <w:name w:val="footnote reference"/>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576862778">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 w:id="20311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04A3-9294-41F8-A46D-ED3BC766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4</cp:revision>
  <cp:lastPrinted>2023-08-14T20:04:00Z</cp:lastPrinted>
  <dcterms:created xsi:type="dcterms:W3CDTF">2024-10-24T18:43:00Z</dcterms:created>
  <dcterms:modified xsi:type="dcterms:W3CDTF">2024-10-24T18:45:00Z</dcterms:modified>
</cp:coreProperties>
</file>