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5DD4" w:rsidRDefault="00B1494F">
      <w:pPr>
        <w:spacing w:before="79"/>
        <w:ind w:left="100"/>
        <w:rPr>
          <w:b/>
          <w:sz w:val="28"/>
        </w:rPr>
      </w:pPr>
      <w:r>
        <w:rPr>
          <w:b/>
          <w:sz w:val="28"/>
        </w:rPr>
        <w:t>Agency Name and Address:</w:t>
      </w:r>
    </w:p>
    <w:p w:rsidR="005D5DD4" w:rsidRDefault="00B1494F">
      <w:pPr>
        <w:pStyle w:val="BodyText"/>
        <w:spacing w:before="121"/>
        <w:ind w:left="460" w:right="3303"/>
      </w:pPr>
      <w:r>
        <w:t>Louisiana State Radiologic Technology Board of Examiners 3108 Cleary Avenue, Suite 207</w:t>
      </w:r>
    </w:p>
    <w:p w:rsidR="005D5DD4" w:rsidRDefault="00B1494F">
      <w:pPr>
        <w:pStyle w:val="BodyText"/>
        <w:spacing w:line="480" w:lineRule="auto"/>
        <w:ind w:left="460" w:right="6580"/>
      </w:pPr>
      <w:r>
        <w:t>Metairie, Louisiana 70002 Website:</w:t>
      </w:r>
      <w:r>
        <w:rPr>
          <w:spacing w:val="56"/>
        </w:rPr>
        <w:t xml:space="preserve"> </w:t>
      </w:r>
      <w:hyperlink r:id="rId7">
        <w:r>
          <w:rPr>
            <w:color w:val="0000FF"/>
            <w:u w:val="single" w:color="0000FF"/>
          </w:rPr>
          <w:t>www.lsrtbe.org</w:t>
        </w:r>
      </w:hyperlink>
    </w:p>
    <w:p w:rsidR="005D5DD4" w:rsidRDefault="00B1494F">
      <w:pPr>
        <w:spacing w:before="1"/>
        <w:ind w:left="100"/>
      </w:pPr>
      <w:r>
        <w:rPr>
          <w:b/>
        </w:rPr>
        <w:t xml:space="preserve">Solicitation Number: </w:t>
      </w:r>
      <w:r>
        <w:t>25-8881</w:t>
      </w:r>
    </w:p>
    <w:p w:rsidR="005D5DD4" w:rsidRDefault="005D5DD4">
      <w:pPr>
        <w:pStyle w:val="BodyText"/>
        <w:spacing w:before="1"/>
        <w:rPr>
          <w:sz w:val="19"/>
        </w:rPr>
      </w:pPr>
    </w:p>
    <w:p w:rsidR="005D5DD4" w:rsidRDefault="00B1494F">
      <w:pPr>
        <w:ind w:left="100"/>
      </w:pPr>
      <w:r>
        <w:rPr>
          <w:b/>
        </w:rPr>
        <w:t xml:space="preserve">Type of Engagement: </w:t>
      </w:r>
      <w:hyperlink r:id="rId8" w:history="1">
        <w:r w:rsidR="009D01AA" w:rsidRPr="003D2894">
          <w:rPr>
            <w:rStyle w:val="Hyperlink"/>
          </w:rPr>
          <w:t>Agreed-Upon Procedures</w:t>
        </w:r>
      </w:hyperlink>
    </w:p>
    <w:p w:rsidR="005D5DD4" w:rsidRDefault="005D5DD4">
      <w:pPr>
        <w:pStyle w:val="BodyText"/>
        <w:spacing w:before="2"/>
        <w:rPr>
          <w:sz w:val="19"/>
        </w:rPr>
      </w:pPr>
    </w:p>
    <w:p w:rsidR="005D5DD4" w:rsidRDefault="00B1494F">
      <w:pPr>
        <w:ind w:left="100"/>
      </w:pPr>
      <w:r>
        <w:rPr>
          <w:b/>
        </w:rPr>
        <w:t xml:space="preserve">Contract Period: </w:t>
      </w:r>
      <w:r>
        <w:t>Ju</w:t>
      </w:r>
      <w:r w:rsidR="00CD1933">
        <w:t>ne 30</w:t>
      </w:r>
      <w:r>
        <w:t>, 2025 – September 30, 2027</w:t>
      </w:r>
    </w:p>
    <w:p w:rsidR="005D5DD4" w:rsidRDefault="005D5DD4">
      <w:pPr>
        <w:pStyle w:val="BodyText"/>
        <w:spacing w:before="2"/>
        <w:rPr>
          <w:sz w:val="19"/>
        </w:rPr>
      </w:pPr>
    </w:p>
    <w:p w:rsidR="005D5DD4" w:rsidRDefault="00B1494F">
      <w:pPr>
        <w:ind w:left="100"/>
      </w:pPr>
      <w:r>
        <w:rPr>
          <w:b/>
        </w:rPr>
        <w:t xml:space="preserve">Periods to be Examined: </w:t>
      </w:r>
      <w:r>
        <w:t>Years ending June 30, 2025; June 30, 2026; and June 30, 2027</w:t>
      </w:r>
    </w:p>
    <w:p w:rsidR="005D5DD4" w:rsidRDefault="005D5DD4">
      <w:pPr>
        <w:pStyle w:val="BodyText"/>
        <w:spacing w:before="1"/>
        <w:rPr>
          <w:sz w:val="19"/>
        </w:rPr>
      </w:pPr>
    </w:p>
    <w:p w:rsidR="005D5DD4" w:rsidRDefault="00B1494F">
      <w:pPr>
        <w:pStyle w:val="Heading1"/>
        <w:jc w:val="both"/>
      </w:pPr>
      <w:r>
        <w:t>Description of the State Agency:</w:t>
      </w:r>
    </w:p>
    <w:p w:rsidR="005D5DD4" w:rsidRDefault="00B1494F">
      <w:pPr>
        <w:pStyle w:val="ListParagraph"/>
        <w:numPr>
          <w:ilvl w:val="0"/>
          <w:numId w:val="1"/>
        </w:numPr>
        <w:tabs>
          <w:tab w:val="left" w:pos="461"/>
        </w:tabs>
        <w:spacing w:before="121"/>
        <w:ind w:right="113"/>
      </w:pPr>
      <w:r>
        <w:t>The Louisiana State Radiologic Technology Board of Examiners was created within the Department of Health as provided by Louisiana Revised Statute (R.S.) 37:3201. The board is responsible for licensing and regulating radiologic technologists in Louisiana. Licenses are renewed by May 31st each year. There are approximately 8,000 licenses currently issued. The board uses a database application to track licenses, but it is not integrated with the accounting</w:t>
      </w:r>
      <w:r>
        <w:rPr>
          <w:spacing w:val="-1"/>
        </w:rPr>
        <w:t xml:space="preserve"> </w:t>
      </w:r>
      <w:r>
        <w:t>software.</w:t>
      </w:r>
    </w:p>
    <w:p w:rsidR="005D5DD4" w:rsidRDefault="005D5DD4">
      <w:pPr>
        <w:pStyle w:val="BodyText"/>
        <w:spacing w:before="10"/>
        <w:rPr>
          <w:sz w:val="18"/>
        </w:rPr>
      </w:pPr>
    </w:p>
    <w:p w:rsidR="005D5DD4" w:rsidRDefault="00B1494F">
      <w:pPr>
        <w:pStyle w:val="ListParagraph"/>
        <w:numPr>
          <w:ilvl w:val="0"/>
          <w:numId w:val="1"/>
        </w:numPr>
        <w:tabs>
          <w:tab w:val="left" w:pos="461"/>
        </w:tabs>
        <w:spacing w:before="1"/>
        <w:ind w:right="110"/>
      </w:pPr>
      <w:r>
        <w:t>The board is composed of 11 members who are appointed by the governor. Members are authorized by R.S. 37:3206 to receive a per diem of $50 for attendance of meetings. In addition, members shall be reimbursed for actual travel and incidental</w:t>
      </w:r>
      <w:r>
        <w:rPr>
          <w:spacing w:val="-10"/>
        </w:rPr>
        <w:t xml:space="preserve"> </w:t>
      </w:r>
      <w:r>
        <w:t>expenses.</w:t>
      </w:r>
    </w:p>
    <w:p w:rsidR="005D5DD4" w:rsidRDefault="005D5DD4">
      <w:pPr>
        <w:pStyle w:val="BodyText"/>
        <w:spacing w:before="11"/>
        <w:rPr>
          <w:sz w:val="18"/>
        </w:rPr>
      </w:pPr>
    </w:p>
    <w:p w:rsidR="005D5DD4" w:rsidRDefault="00B1494F">
      <w:pPr>
        <w:pStyle w:val="ListParagraph"/>
        <w:numPr>
          <w:ilvl w:val="0"/>
          <w:numId w:val="1"/>
        </w:numPr>
        <w:tabs>
          <w:tab w:val="left" w:pos="461"/>
        </w:tabs>
        <w:ind w:right="114"/>
      </w:pPr>
      <w:r>
        <w:t>The</w:t>
      </w:r>
      <w:r>
        <w:rPr>
          <w:spacing w:val="-11"/>
        </w:rPr>
        <w:t xml:space="preserve"> </w:t>
      </w:r>
      <w:r>
        <w:t>board</w:t>
      </w:r>
      <w:r>
        <w:rPr>
          <w:spacing w:val="-10"/>
        </w:rPr>
        <w:t xml:space="preserve"> </w:t>
      </w:r>
      <w:r>
        <w:t>holds</w:t>
      </w:r>
      <w:r>
        <w:rPr>
          <w:spacing w:val="-12"/>
        </w:rPr>
        <w:t xml:space="preserve"> </w:t>
      </w:r>
      <w:r>
        <w:t>four</w:t>
      </w:r>
      <w:r>
        <w:rPr>
          <w:spacing w:val="-15"/>
        </w:rPr>
        <w:t xml:space="preserve"> </w:t>
      </w:r>
      <w:r>
        <w:t>meetings</w:t>
      </w:r>
      <w:r>
        <w:rPr>
          <w:spacing w:val="-10"/>
        </w:rPr>
        <w:t xml:space="preserve"> </w:t>
      </w:r>
      <w:r>
        <w:t>per</w:t>
      </w:r>
      <w:r>
        <w:rPr>
          <w:spacing w:val="-11"/>
        </w:rPr>
        <w:t xml:space="preserve"> </w:t>
      </w:r>
      <w:r>
        <w:t>year.</w:t>
      </w:r>
      <w:r>
        <w:rPr>
          <w:spacing w:val="38"/>
        </w:rPr>
        <w:t xml:space="preserve"> </w:t>
      </w:r>
      <w:r>
        <w:t>At</w:t>
      </w:r>
      <w:r>
        <w:rPr>
          <w:spacing w:val="-12"/>
        </w:rPr>
        <w:t xml:space="preserve"> </w:t>
      </w:r>
      <w:r>
        <w:t>each</w:t>
      </w:r>
      <w:r>
        <w:rPr>
          <w:spacing w:val="-15"/>
        </w:rPr>
        <w:t xml:space="preserve"> </w:t>
      </w:r>
      <w:r>
        <w:t>meeting,</w:t>
      </w:r>
      <w:r>
        <w:rPr>
          <w:spacing w:val="-14"/>
        </w:rPr>
        <w:t xml:space="preserve"> </w:t>
      </w:r>
      <w:r>
        <w:t>the</w:t>
      </w:r>
      <w:r>
        <w:rPr>
          <w:spacing w:val="-11"/>
        </w:rPr>
        <w:t xml:space="preserve"> </w:t>
      </w:r>
      <w:r>
        <w:t>board</w:t>
      </w:r>
      <w:r>
        <w:rPr>
          <w:spacing w:val="-15"/>
        </w:rPr>
        <w:t xml:space="preserve"> </w:t>
      </w:r>
      <w:r>
        <w:t>reviews</w:t>
      </w:r>
      <w:r>
        <w:rPr>
          <w:spacing w:val="-11"/>
        </w:rPr>
        <w:t xml:space="preserve"> </w:t>
      </w:r>
      <w:r>
        <w:t>financial</w:t>
      </w:r>
      <w:r>
        <w:rPr>
          <w:spacing w:val="-14"/>
        </w:rPr>
        <w:t xml:space="preserve"> </w:t>
      </w:r>
      <w:r>
        <w:t>reports, including monthly financial review, yearly comparisons, assets and liabilities, and budget reports.</w:t>
      </w:r>
    </w:p>
    <w:p w:rsidR="005D5DD4" w:rsidRDefault="005D5DD4">
      <w:pPr>
        <w:pStyle w:val="BodyText"/>
        <w:spacing w:before="2"/>
        <w:rPr>
          <w:sz w:val="19"/>
        </w:rPr>
      </w:pPr>
    </w:p>
    <w:p w:rsidR="005D5DD4" w:rsidRDefault="00B1494F">
      <w:pPr>
        <w:pStyle w:val="ListParagraph"/>
        <w:numPr>
          <w:ilvl w:val="0"/>
          <w:numId w:val="1"/>
        </w:numPr>
        <w:tabs>
          <w:tab w:val="left" w:pos="461"/>
        </w:tabs>
        <w:spacing w:line="237" w:lineRule="auto"/>
        <w:ind w:right="114"/>
      </w:pPr>
      <w:r>
        <w:t xml:space="preserve">The board has three employees. The accounting functions are performed by the board staff. The board also contracts for accounting services with Stephen </w:t>
      </w:r>
      <w:proofErr w:type="spellStart"/>
      <w:r>
        <w:t>Lahare</w:t>
      </w:r>
      <w:proofErr w:type="spellEnd"/>
      <w:r>
        <w:t>,</w:t>
      </w:r>
      <w:r>
        <w:rPr>
          <w:spacing w:val="-10"/>
        </w:rPr>
        <w:t xml:space="preserve"> </w:t>
      </w:r>
      <w:r>
        <w:t>CPA.</w:t>
      </w:r>
    </w:p>
    <w:p w:rsidR="005D5DD4" w:rsidRDefault="005D5DD4">
      <w:pPr>
        <w:pStyle w:val="BodyText"/>
        <w:spacing w:before="3"/>
        <w:rPr>
          <w:sz w:val="19"/>
        </w:rPr>
      </w:pPr>
    </w:p>
    <w:p w:rsidR="005D5DD4" w:rsidRDefault="00B1494F">
      <w:pPr>
        <w:pStyle w:val="ListParagraph"/>
        <w:numPr>
          <w:ilvl w:val="0"/>
          <w:numId w:val="1"/>
        </w:numPr>
        <w:tabs>
          <w:tab w:val="left" w:pos="461"/>
        </w:tabs>
        <w:spacing w:before="1"/>
        <w:ind w:right="113"/>
      </w:pPr>
      <w:r>
        <w:t>The board has two bank account</w:t>
      </w:r>
      <w:r w:rsidR="00927C72">
        <w:t>s</w:t>
      </w:r>
      <w:r>
        <w:t xml:space="preserve"> and one investment account. The board has two credit cards assigned to the Executive Director and Compliance Officer. The board issues approximately</w:t>
      </w:r>
      <w:r>
        <w:rPr>
          <w:spacing w:val="-12"/>
        </w:rPr>
        <w:t xml:space="preserve"> </w:t>
      </w:r>
      <w:r>
        <w:t>22</w:t>
      </w:r>
      <w:r>
        <w:rPr>
          <w:spacing w:val="-14"/>
        </w:rPr>
        <w:t xml:space="preserve"> </w:t>
      </w:r>
      <w:r>
        <w:t>checks</w:t>
      </w:r>
      <w:r>
        <w:rPr>
          <w:spacing w:val="-17"/>
        </w:rPr>
        <w:t xml:space="preserve"> </w:t>
      </w:r>
      <w:r>
        <w:t>each</w:t>
      </w:r>
      <w:r>
        <w:rPr>
          <w:spacing w:val="-15"/>
        </w:rPr>
        <w:t xml:space="preserve"> </w:t>
      </w:r>
      <w:r>
        <w:t>month.</w:t>
      </w:r>
      <w:r>
        <w:rPr>
          <w:spacing w:val="35"/>
        </w:rPr>
        <w:t xml:space="preserve"> </w:t>
      </w:r>
      <w:r>
        <w:t>Two</w:t>
      </w:r>
      <w:r>
        <w:rPr>
          <w:spacing w:val="-15"/>
        </w:rPr>
        <w:t xml:space="preserve"> </w:t>
      </w:r>
      <w:r>
        <w:t>signatures</w:t>
      </w:r>
      <w:r>
        <w:rPr>
          <w:spacing w:val="-15"/>
        </w:rPr>
        <w:t xml:space="preserve"> </w:t>
      </w:r>
      <w:r>
        <w:t>are</w:t>
      </w:r>
      <w:r>
        <w:rPr>
          <w:spacing w:val="-17"/>
        </w:rPr>
        <w:t xml:space="preserve"> </w:t>
      </w:r>
      <w:r>
        <w:t>required</w:t>
      </w:r>
      <w:r>
        <w:rPr>
          <w:spacing w:val="-15"/>
        </w:rPr>
        <w:t xml:space="preserve"> </w:t>
      </w:r>
      <w:r>
        <w:t>on</w:t>
      </w:r>
      <w:r>
        <w:rPr>
          <w:spacing w:val="-14"/>
        </w:rPr>
        <w:t xml:space="preserve"> </w:t>
      </w:r>
      <w:r>
        <w:t>checks.</w:t>
      </w:r>
      <w:r>
        <w:rPr>
          <w:spacing w:val="34"/>
        </w:rPr>
        <w:t xml:space="preserve"> </w:t>
      </w:r>
      <w:r>
        <w:t>The</w:t>
      </w:r>
      <w:r>
        <w:rPr>
          <w:spacing w:val="-15"/>
        </w:rPr>
        <w:t xml:space="preserve"> </w:t>
      </w:r>
      <w:r>
        <w:t>Executive Director, Compliance Officer, and First Vice Chairman are authorized to sign checks. Supporting documentation is provided to the individual signing the check. The Executive Director and Compliance Officer reconciles the bank statements. Three board members review all finances on a monthly</w:t>
      </w:r>
      <w:r>
        <w:rPr>
          <w:spacing w:val="-10"/>
        </w:rPr>
        <w:t xml:space="preserve"> </w:t>
      </w:r>
      <w:r>
        <w:t>basis.</w:t>
      </w:r>
    </w:p>
    <w:p w:rsidR="005D5DD4" w:rsidRDefault="005D5DD4">
      <w:pPr>
        <w:pStyle w:val="BodyText"/>
        <w:spacing w:before="3"/>
        <w:rPr>
          <w:sz w:val="19"/>
        </w:rPr>
      </w:pPr>
    </w:p>
    <w:p w:rsidR="005D5DD4" w:rsidRDefault="00B1494F">
      <w:pPr>
        <w:pStyle w:val="ListParagraph"/>
        <w:numPr>
          <w:ilvl w:val="0"/>
          <w:numId w:val="1"/>
        </w:numPr>
        <w:tabs>
          <w:tab w:val="left" w:pos="461"/>
        </w:tabs>
        <w:spacing w:line="237" w:lineRule="auto"/>
        <w:ind w:right="113"/>
      </w:pPr>
      <w:r>
        <w:t xml:space="preserve">Operations of the board are primarily funded by license fees. The board is engaged in business-type activities. </w:t>
      </w:r>
      <w:r w:rsidR="00C3070E" w:rsidRPr="002A0E28">
        <w:t>The following activity/balances were reported per the State of Louisiana ACFR as of and for the year ended June 30, 2024:</w:t>
      </w:r>
    </w:p>
    <w:p w:rsidR="005D5DD4" w:rsidRDefault="005D5DD4">
      <w:pPr>
        <w:pStyle w:val="BodyText"/>
        <w:spacing w:before="1"/>
        <w:rPr>
          <w:sz w:val="11"/>
        </w:rPr>
      </w:pPr>
    </w:p>
    <w:tbl>
      <w:tblPr>
        <w:tblW w:w="0" w:type="auto"/>
        <w:tblInd w:w="1497" w:type="dxa"/>
        <w:tblLayout w:type="fixed"/>
        <w:tblCellMar>
          <w:left w:w="0" w:type="dxa"/>
          <w:right w:w="0" w:type="dxa"/>
        </w:tblCellMar>
        <w:tblLook w:val="01E0" w:firstRow="1" w:lastRow="1" w:firstColumn="1" w:lastColumn="1" w:noHBand="0" w:noVBand="0"/>
      </w:tblPr>
      <w:tblGrid>
        <w:gridCol w:w="2747"/>
        <w:gridCol w:w="2397"/>
      </w:tblGrid>
      <w:tr w:rsidR="005D5DD4">
        <w:trPr>
          <w:trHeight w:val="250"/>
        </w:trPr>
        <w:tc>
          <w:tcPr>
            <w:tcW w:w="2747" w:type="dxa"/>
          </w:tcPr>
          <w:p w:rsidR="005D5DD4" w:rsidRDefault="00B1494F">
            <w:pPr>
              <w:pStyle w:val="TableParagraph"/>
              <w:spacing w:line="231" w:lineRule="exact"/>
              <w:ind w:left="50"/>
            </w:pPr>
            <w:r>
              <w:t>Total Assets</w:t>
            </w:r>
          </w:p>
        </w:tc>
        <w:tc>
          <w:tcPr>
            <w:tcW w:w="2397" w:type="dxa"/>
          </w:tcPr>
          <w:p w:rsidR="005D5DD4" w:rsidRDefault="00B1494F">
            <w:pPr>
              <w:pStyle w:val="TableParagraph"/>
              <w:spacing w:line="231" w:lineRule="exact"/>
              <w:ind w:right="48"/>
              <w:jc w:val="right"/>
            </w:pPr>
            <w:r>
              <w:t>$1,621,990</w:t>
            </w:r>
          </w:p>
        </w:tc>
      </w:tr>
      <w:tr w:rsidR="005D5DD4">
        <w:trPr>
          <w:trHeight w:val="253"/>
        </w:trPr>
        <w:tc>
          <w:tcPr>
            <w:tcW w:w="2747" w:type="dxa"/>
          </w:tcPr>
          <w:p w:rsidR="005D5DD4" w:rsidRDefault="00B1494F">
            <w:pPr>
              <w:pStyle w:val="TableParagraph"/>
              <w:ind w:left="50"/>
            </w:pPr>
            <w:r>
              <w:t>Total Liabilities</w:t>
            </w:r>
          </w:p>
        </w:tc>
        <w:tc>
          <w:tcPr>
            <w:tcW w:w="2397" w:type="dxa"/>
          </w:tcPr>
          <w:p w:rsidR="005D5DD4" w:rsidRDefault="00B1494F">
            <w:pPr>
              <w:pStyle w:val="TableParagraph"/>
              <w:ind w:right="48"/>
              <w:jc w:val="right"/>
            </w:pPr>
            <w:r>
              <w:t>$1,010,797</w:t>
            </w:r>
          </w:p>
        </w:tc>
      </w:tr>
      <w:tr w:rsidR="005D5DD4">
        <w:trPr>
          <w:trHeight w:val="253"/>
        </w:trPr>
        <w:tc>
          <w:tcPr>
            <w:tcW w:w="2747" w:type="dxa"/>
          </w:tcPr>
          <w:p w:rsidR="005D5DD4" w:rsidRDefault="00B1494F">
            <w:pPr>
              <w:pStyle w:val="TableParagraph"/>
              <w:ind w:left="50"/>
            </w:pPr>
            <w:r>
              <w:t>Net Position</w:t>
            </w:r>
          </w:p>
        </w:tc>
        <w:tc>
          <w:tcPr>
            <w:tcW w:w="2397" w:type="dxa"/>
          </w:tcPr>
          <w:p w:rsidR="005D5DD4" w:rsidRDefault="00B1494F">
            <w:pPr>
              <w:pStyle w:val="TableParagraph"/>
              <w:ind w:right="48"/>
              <w:jc w:val="right"/>
            </w:pPr>
            <w:r>
              <w:t>$611,193</w:t>
            </w:r>
          </w:p>
        </w:tc>
      </w:tr>
      <w:tr w:rsidR="005D5DD4">
        <w:trPr>
          <w:trHeight w:val="253"/>
        </w:trPr>
        <w:tc>
          <w:tcPr>
            <w:tcW w:w="2747" w:type="dxa"/>
          </w:tcPr>
          <w:p w:rsidR="005D5DD4" w:rsidRDefault="00B1494F">
            <w:pPr>
              <w:pStyle w:val="TableParagraph"/>
              <w:ind w:left="50"/>
            </w:pPr>
            <w:r>
              <w:t>Revenues</w:t>
            </w:r>
          </w:p>
        </w:tc>
        <w:tc>
          <w:tcPr>
            <w:tcW w:w="2397" w:type="dxa"/>
          </w:tcPr>
          <w:p w:rsidR="005D5DD4" w:rsidRDefault="00B1494F">
            <w:pPr>
              <w:pStyle w:val="TableParagraph"/>
              <w:ind w:right="48"/>
              <w:jc w:val="right"/>
            </w:pPr>
            <w:r>
              <w:t>$452,018</w:t>
            </w:r>
          </w:p>
        </w:tc>
      </w:tr>
      <w:tr w:rsidR="005D5DD4">
        <w:trPr>
          <w:trHeight w:val="249"/>
        </w:trPr>
        <w:tc>
          <w:tcPr>
            <w:tcW w:w="2747" w:type="dxa"/>
          </w:tcPr>
          <w:p w:rsidR="005D5DD4" w:rsidRDefault="00B1494F">
            <w:pPr>
              <w:pStyle w:val="TableParagraph"/>
              <w:spacing w:line="229" w:lineRule="exact"/>
              <w:ind w:left="50"/>
            </w:pPr>
            <w:r>
              <w:t>Expenses</w:t>
            </w:r>
          </w:p>
        </w:tc>
        <w:tc>
          <w:tcPr>
            <w:tcW w:w="2397" w:type="dxa"/>
          </w:tcPr>
          <w:p w:rsidR="005D5DD4" w:rsidRDefault="00B1494F">
            <w:pPr>
              <w:pStyle w:val="TableParagraph"/>
              <w:spacing w:line="229" w:lineRule="exact"/>
              <w:ind w:right="48"/>
              <w:jc w:val="right"/>
            </w:pPr>
            <w:r>
              <w:t>$379,101</w:t>
            </w:r>
          </w:p>
        </w:tc>
      </w:tr>
    </w:tbl>
    <w:p w:rsidR="005D5DD4" w:rsidRDefault="005D5DD4">
      <w:pPr>
        <w:spacing w:line="229" w:lineRule="exact"/>
        <w:jc w:val="right"/>
        <w:sectPr w:rsidR="005D5DD4">
          <w:footerReference w:type="default" r:id="rId9"/>
          <w:type w:val="continuous"/>
          <w:pgSz w:w="12240" w:h="15840"/>
          <w:pgMar w:top="1360" w:right="1320" w:bottom="940" w:left="1340" w:header="720" w:footer="741" w:gutter="0"/>
          <w:pgNumType w:start="1"/>
          <w:cols w:space="720"/>
        </w:sectPr>
      </w:pPr>
    </w:p>
    <w:p w:rsidR="005D5DD4" w:rsidRDefault="00B1494F">
      <w:pPr>
        <w:spacing w:before="79"/>
        <w:ind w:left="155" w:right="3303" w:hanging="56"/>
        <w:rPr>
          <w:sz w:val="20"/>
        </w:rPr>
      </w:pPr>
      <w:r>
        <w:rPr>
          <w:sz w:val="20"/>
        </w:rPr>
        <w:lastRenderedPageBreak/>
        <w:t>Louisiana State Radiologic Technology Board of Examiners (continued)</w:t>
      </w:r>
    </w:p>
    <w:p w:rsidR="005D5DD4" w:rsidRDefault="005D5DD4">
      <w:pPr>
        <w:pStyle w:val="BodyText"/>
        <w:spacing w:before="6"/>
        <w:rPr>
          <w:sz w:val="14"/>
        </w:rPr>
      </w:pPr>
    </w:p>
    <w:p w:rsidR="005D5DD4" w:rsidRDefault="00B1494F">
      <w:pPr>
        <w:spacing w:before="94"/>
        <w:ind w:left="100"/>
      </w:pPr>
      <w:r>
        <w:rPr>
          <w:b/>
        </w:rPr>
        <w:t xml:space="preserve">Accounting System: </w:t>
      </w:r>
      <w:r>
        <w:t>QuickBooks</w:t>
      </w:r>
    </w:p>
    <w:p w:rsidR="005D5DD4" w:rsidRDefault="005D5DD4">
      <w:pPr>
        <w:pStyle w:val="BodyText"/>
        <w:spacing w:before="9"/>
        <w:rPr>
          <w:sz w:val="20"/>
        </w:rPr>
      </w:pPr>
    </w:p>
    <w:p w:rsidR="005D5DD4" w:rsidRDefault="00B1494F">
      <w:pPr>
        <w:spacing w:line="468" w:lineRule="auto"/>
        <w:ind w:left="100" w:right="929"/>
      </w:pPr>
      <w:r>
        <w:rPr>
          <w:b/>
        </w:rPr>
        <w:t xml:space="preserve">Financial Statements: </w:t>
      </w:r>
      <w:r>
        <w:t xml:space="preserve">The board will provide a general ledger and trial balance. </w:t>
      </w:r>
      <w:r>
        <w:rPr>
          <w:b/>
        </w:rPr>
        <w:t xml:space="preserve">Estimated Start of Fieldwork: </w:t>
      </w:r>
      <w:r>
        <w:t xml:space="preserve">No later than July 15 following each period </w:t>
      </w:r>
      <w:r>
        <w:rPr>
          <w:b/>
        </w:rPr>
        <w:t xml:space="preserve">Engagement Completion Date: </w:t>
      </w:r>
      <w:r>
        <w:t>No later than September 30 following each period</w:t>
      </w:r>
    </w:p>
    <w:p w:rsidR="005D5DD4" w:rsidRDefault="00B1494F">
      <w:pPr>
        <w:pStyle w:val="Heading1"/>
        <w:spacing w:before="1"/>
      </w:pPr>
      <w:r>
        <w:t>Special Requirements:</w:t>
      </w:r>
    </w:p>
    <w:p w:rsidR="005D5DD4" w:rsidRDefault="00B1494F">
      <w:pPr>
        <w:pStyle w:val="ListParagraph"/>
        <w:numPr>
          <w:ilvl w:val="0"/>
          <w:numId w:val="1"/>
        </w:numPr>
        <w:tabs>
          <w:tab w:val="left" w:pos="460"/>
          <w:tab w:val="left" w:pos="461"/>
        </w:tabs>
        <w:spacing w:before="123" w:line="237" w:lineRule="auto"/>
        <w:ind w:right="114"/>
        <w:jc w:val="left"/>
      </w:pPr>
      <w:r>
        <w:t>The successful ICPA will prepare the Agreed-Upon Procedures Report developed by the Louisiana Legislative</w:t>
      </w:r>
      <w:r>
        <w:rPr>
          <w:spacing w:val="-1"/>
        </w:rPr>
        <w:t xml:space="preserve"> </w:t>
      </w:r>
      <w:r>
        <w:t>Auditor.</w:t>
      </w:r>
    </w:p>
    <w:p w:rsidR="005D5DD4" w:rsidRDefault="005D5DD4">
      <w:pPr>
        <w:pStyle w:val="BodyText"/>
        <w:spacing w:before="9"/>
        <w:rPr>
          <w:sz w:val="20"/>
        </w:rPr>
      </w:pPr>
    </w:p>
    <w:p w:rsidR="005D5DD4" w:rsidRDefault="00B1494F">
      <w:pPr>
        <w:spacing w:before="1"/>
        <w:ind w:left="100"/>
      </w:pPr>
      <w:r>
        <w:rPr>
          <w:b/>
        </w:rPr>
        <w:t xml:space="preserve">State Agency Assistance: </w:t>
      </w:r>
      <w:r>
        <w:t>The board will provide supporting schedules as required.</w:t>
      </w:r>
    </w:p>
    <w:p w:rsidR="005D5DD4" w:rsidRDefault="005D5DD4">
      <w:pPr>
        <w:pStyle w:val="BodyText"/>
        <w:spacing w:before="9"/>
        <w:rPr>
          <w:sz w:val="20"/>
        </w:rPr>
      </w:pPr>
    </w:p>
    <w:p w:rsidR="005D5DD4" w:rsidRDefault="00B1494F">
      <w:pPr>
        <w:ind w:left="100"/>
      </w:pPr>
      <w:r>
        <w:rPr>
          <w:b/>
        </w:rPr>
        <w:t xml:space="preserve">Last Engagement: </w:t>
      </w:r>
      <w:r>
        <w:t>Agreed-upon procedures as of and for the period ended June 30, 2024</w:t>
      </w:r>
    </w:p>
    <w:p w:rsidR="005D5DD4" w:rsidRDefault="005D5DD4">
      <w:pPr>
        <w:pStyle w:val="BodyText"/>
        <w:rPr>
          <w:sz w:val="21"/>
        </w:rPr>
      </w:pPr>
    </w:p>
    <w:p w:rsidR="005D5DD4" w:rsidRDefault="00B1494F">
      <w:pPr>
        <w:pStyle w:val="Heading1"/>
      </w:pPr>
      <w:r>
        <w:t>Results of Last Engagement:</w:t>
      </w:r>
    </w:p>
    <w:p w:rsidR="005D5DD4" w:rsidRDefault="00B1494F">
      <w:pPr>
        <w:pStyle w:val="ListParagraph"/>
        <w:numPr>
          <w:ilvl w:val="0"/>
          <w:numId w:val="1"/>
        </w:numPr>
        <w:tabs>
          <w:tab w:val="left" w:pos="460"/>
          <w:tab w:val="left" w:pos="461"/>
        </w:tabs>
        <w:spacing w:before="121"/>
        <w:ind w:hanging="361"/>
        <w:jc w:val="left"/>
      </w:pPr>
      <w:r>
        <w:t>No exceptions</w:t>
      </w:r>
      <w:r>
        <w:rPr>
          <w:spacing w:val="-2"/>
        </w:rPr>
        <w:t xml:space="preserve"> </w:t>
      </w:r>
      <w:r>
        <w:t>noted</w:t>
      </w:r>
    </w:p>
    <w:p w:rsidR="005D5DD4" w:rsidRDefault="005D5DD4">
      <w:pPr>
        <w:pStyle w:val="BodyText"/>
        <w:spacing w:before="7"/>
        <w:rPr>
          <w:sz w:val="20"/>
        </w:rPr>
      </w:pPr>
    </w:p>
    <w:p w:rsidR="005D5DD4" w:rsidRDefault="00B1494F">
      <w:pPr>
        <w:tabs>
          <w:tab w:val="left" w:pos="2260"/>
        </w:tabs>
        <w:spacing w:before="1" w:line="252" w:lineRule="exact"/>
        <w:ind w:left="100"/>
      </w:pPr>
      <w:r>
        <w:rPr>
          <w:b/>
        </w:rPr>
        <w:t>Prior</w:t>
      </w:r>
      <w:r>
        <w:rPr>
          <w:b/>
          <w:spacing w:val="-3"/>
        </w:rPr>
        <w:t xml:space="preserve"> </w:t>
      </w:r>
      <w:r>
        <w:rPr>
          <w:b/>
        </w:rPr>
        <w:t>Auditor:</w:t>
      </w:r>
      <w:r>
        <w:rPr>
          <w:b/>
        </w:rPr>
        <w:tab/>
      </w:r>
      <w:r>
        <w:t xml:space="preserve">Ericksen </w:t>
      </w:r>
      <w:proofErr w:type="spellStart"/>
      <w:r>
        <w:t>Krentel</w:t>
      </w:r>
      <w:proofErr w:type="spellEnd"/>
    </w:p>
    <w:p w:rsidR="005D5DD4" w:rsidRDefault="00B1494F">
      <w:pPr>
        <w:pStyle w:val="BodyText"/>
        <w:spacing w:line="252" w:lineRule="exact"/>
        <w:ind w:left="2261"/>
      </w:pPr>
      <w:r>
        <w:t>New Orleans, Louisiana</w:t>
      </w:r>
    </w:p>
    <w:p w:rsidR="005D5DD4" w:rsidRDefault="005D5DD4">
      <w:pPr>
        <w:pStyle w:val="BodyText"/>
      </w:pPr>
    </w:p>
    <w:p w:rsidR="005D5DD4" w:rsidRDefault="00B1494F">
      <w:pPr>
        <w:pStyle w:val="Heading1"/>
      </w:pPr>
      <w:r>
        <w:t>Proposers’ Conference:</w:t>
      </w:r>
    </w:p>
    <w:p w:rsidR="005D5DD4" w:rsidRDefault="00B1494F">
      <w:pPr>
        <w:pStyle w:val="ListParagraph"/>
        <w:numPr>
          <w:ilvl w:val="0"/>
          <w:numId w:val="1"/>
        </w:numPr>
        <w:tabs>
          <w:tab w:val="left" w:pos="460"/>
          <w:tab w:val="left" w:pos="461"/>
        </w:tabs>
        <w:spacing w:before="121"/>
        <w:ind w:hanging="361"/>
        <w:jc w:val="left"/>
      </w:pPr>
      <w:r>
        <w:t xml:space="preserve">A proposers’ conference will </w:t>
      </w:r>
      <w:r>
        <w:rPr>
          <w:b/>
          <w:u w:val="thick"/>
        </w:rPr>
        <w:t>not</w:t>
      </w:r>
      <w:r>
        <w:rPr>
          <w:b/>
        </w:rPr>
        <w:t xml:space="preserve"> </w:t>
      </w:r>
      <w:r>
        <w:t>be</w:t>
      </w:r>
      <w:r>
        <w:rPr>
          <w:spacing w:val="-4"/>
        </w:rPr>
        <w:t xml:space="preserve"> </w:t>
      </w:r>
      <w:r>
        <w:t>held.</w:t>
      </w:r>
    </w:p>
    <w:p w:rsidR="005D5DD4" w:rsidRDefault="00B1494F">
      <w:pPr>
        <w:pStyle w:val="ListParagraph"/>
        <w:numPr>
          <w:ilvl w:val="0"/>
          <w:numId w:val="1"/>
        </w:numPr>
        <w:tabs>
          <w:tab w:val="left" w:pos="460"/>
          <w:tab w:val="left" w:pos="461"/>
        </w:tabs>
        <w:spacing w:before="119"/>
        <w:ind w:hanging="361"/>
        <w:jc w:val="left"/>
        <w:rPr>
          <w:sz w:val="20"/>
        </w:rPr>
      </w:pPr>
      <w:r>
        <w:t>Any questions regarding the SFP or agency should be sent to</w:t>
      </w:r>
      <w:r>
        <w:rPr>
          <w:color w:val="0000FF"/>
          <w:spacing w:val="-8"/>
        </w:rPr>
        <w:t xml:space="preserve"> </w:t>
      </w:r>
      <w:hyperlink r:id="rId10">
        <w:r>
          <w:rPr>
            <w:color w:val="0000FF"/>
            <w:sz w:val="20"/>
            <w:u w:val="single" w:color="0000FF"/>
          </w:rPr>
          <w:t>StateContracts@lla.la.gov</w:t>
        </w:r>
      </w:hyperlink>
    </w:p>
    <w:p w:rsidR="005D5DD4" w:rsidRDefault="005D5DD4">
      <w:pPr>
        <w:pStyle w:val="BodyText"/>
        <w:spacing w:before="8"/>
        <w:rPr>
          <w:sz w:val="20"/>
        </w:rPr>
      </w:pPr>
    </w:p>
    <w:p w:rsidR="005D5DD4" w:rsidRDefault="00B1494F">
      <w:pPr>
        <w:pStyle w:val="Heading1"/>
        <w:rPr>
          <w:b w:val="0"/>
        </w:rPr>
      </w:pPr>
      <w:r>
        <w:t>Proposal Due Date and Time:</w:t>
      </w:r>
      <w:r>
        <w:rPr>
          <w:spacing w:val="53"/>
        </w:rPr>
        <w:t xml:space="preserve"> </w:t>
      </w:r>
      <w:r w:rsidR="00927C72">
        <w:rPr>
          <w:b w:val="0"/>
        </w:rPr>
        <w:t xml:space="preserve">May 12, 2025 by 5:00 p.m. </w:t>
      </w:r>
      <w:bookmarkStart w:id="0" w:name="_GoBack"/>
      <w:bookmarkEnd w:id="0"/>
    </w:p>
    <w:sectPr w:rsidR="005D5DD4">
      <w:pgSz w:w="12240" w:h="15840"/>
      <w:pgMar w:top="640" w:right="1320" w:bottom="940" w:left="1340" w:header="0" w:footer="7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1494F" w:rsidRDefault="00B1494F">
      <w:r>
        <w:separator/>
      </w:r>
    </w:p>
  </w:endnote>
  <w:endnote w:type="continuationSeparator" w:id="0">
    <w:p w:rsidR="00B1494F" w:rsidRDefault="00B149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D5DD4" w:rsidRDefault="00916733">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3549650</wp:posOffset>
              </wp:positionH>
              <wp:positionV relativeFrom="page">
                <wp:posOffset>9448165</wp:posOffset>
              </wp:positionV>
              <wp:extent cx="673735" cy="1670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37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D5DD4" w:rsidRDefault="00B1494F">
                          <w:pPr>
                            <w:spacing w:before="12"/>
                            <w:ind w:left="20"/>
                            <w:rPr>
                              <w:sz w:val="20"/>
                            </w:rPr>
                          </w:pPr>
                          <w:r>
                            <w:rPr>
                              <w:sz w:val="20"/>
                            </w:rPr>
                            <w:t xml:space="preserve">Page </w:t>
                          </w:r>
                          <w:r>
                            <w:fldChar w:fldCharType="begin"/>
                          </w:r>
                          <w:r>
                            <w:rPr>
                              <w:sz w:val="20"/>
                            </w:rPr>
                            <w:instrText xml:space="preserve"> PAGE </w:instrText>
                          </w:r>
                          <w:r>
                            <w:fldChar w:fldCharType="separate"/>
                          </w:r>
                          <w:r>
                            <w:t>1</w:t>
                          </w:r>
                          <w:r>
                            <w:fldChar w:fldCharType="end"/>
                          </w:r>
                          <w:r>
                            <w:rPr>
                              <w:sz w:val="20"/>
                            </w:rPr>
                            <w:t xml:space="preserve"> of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79.5pt;margin-top:743.95pt;width:53.0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" filled="f" stroked="f">
              <v:textbox inset="0,0,0,0">
                <w:txbxContent>
                  <w:p w:rsidR="005D5DD4" w:rsidRDefault="00B1494F">
                    <w:pPr>
                      <w:spacing w:before="12"/>
                      <w:ind w:left="20"/>
                      <w:rPr>
                        <w:sz w:val="20"/>
                      </w:rPr>
                    </w:pPr>
                    <w:r>
                      <w:rPr>
                        <w:sz w:val="20"/>
                      </w:rPr>
                      <w:t xml:space="preserve">Page </w:t>
                    </w:r>
                    <w:r>
                      <w:fldChar w:fldCharType="begin"/>
                    </w:r>
                    <w:r>
                      <w:rPr>
                        <w:sz w:val="20"/>
                      </w:rPr>
                      <w:instrText xml:space="preserve"> PAGE </w:instrText>
                    </w:r>
                    <w:r>
                      <w:fldChar w:fldCharType="separate"/>
                    </w:r>
                    <w:r>
                      <w:t>1</w:t>
                    </w:r>
                    <w:r>
                      <w:fldChar w:fldCharType="end"/>
                    </w:r>
                    <w:r>
                      <w:rPr>
                        <w:sz w:val="20"/>
                      </w:rPr>
                      <w:t xml:space="preserve"> of 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1494F" w:rsidRDefault="00B1494F">
      <w:r>
        <w:separator/>
      </w:r>
    </w:p>
  </w:footnote>
  <w:footnote w:type="continuationSeparator" w:id="0">
    <w:p w:rsidR="00B1494F" w:rsidRDefault="00B1494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A23B6A"/>
    <w:multiLevelType w:val="hybridMultilevel"/>
    <w:tmpl w:val="292E1486"/>
    <w:lvl w:ilvl="0" w:tplc="9A0C5D9E">
      <w:numFmt w:val="bullet"/>
      <w:lvlText w:val=""/>
      <w:lvlJc w:val="left"/>
      <w:pPr>
        <w:ind w:left="460" w:hanging="360"/>
      </w:pPr>
      <w:rPr>
        <w:rFonts w:ascii="Symbol" w:eastAsia="Symbol" w:hAnsi="Symbol" w:cs="Symbol" w:hint="default"/>
        <w:w w:val="100"/>
        <w:sz w:val="22"/>
        <w:szCs w:val="22"/>
        <w:lang w:val="en-US" w:eastAsia="en-US" w:bidi="en-US"/>
      </w:rPr>
    </w:lvl>
    <w:lvl w:ilvl="1" w:tplc="01D0CBD6">
      <w:numFmt w:val="bullet"/>
      <w:lvlText w:val="•"/>
      <w:lvlJc w:val="left"/>
      <w:pPr>
        <w:ind w:left="1372" w:hanging="360"/>
      </w:pPr>
      <w:rPr>
        <w:rFonts w:hint="default"/>
        <w:lang w:val="en-US" w:eastAsia="en-US" w:bidi="en-US"/>
      </w:rPr>
    </w:lvl>
    <w:lvl w:ilvl="2" w:tplc="4F8AE9A6">
      <w:numFmt w:val="bullet"/>
      <w:lvlText w:val="•"/>
      <w:lvlJc w:val="left"/>
      <w:pPr>
        <w:ind w:left="2284" w:hanging="360"/>
      </w:pPr>
      <w:rPr>
        <w:rFonts w:hint="default"/>
        <w:lang w:val="en-US" w:eastAsia="en-US" w:bidi="en-US"/>
      </w:rPr>
    </w:lvl>
    <w:lvl w:ilvl="3" w:tplc="3B4E9F2A">
      <w:numFmt w:val="bullet"/>
      <w:lvlText w:val="•"/>
      <w:lvlJc w:val="left"/>
      <w:pPr>
        <w:ind w:left="3196" w:hanging="360"/>
      </w:pPr>
      <w:rPr>
        <w:rFonts w:hint="default"/>
        <w:lang w:val="en-US" w:eastAsia="en-US" w:bidi="en-US"/>
      </w:rPr>
    </w:lvl>
    <w:lvl w:ilvl="4" w:tplc="95AC6F5A">
      <w:numFmt w:val="bullet"/>
      <w:lvlText w:val="•"/>
      <w:lvlJc w:val="left"/>
      <w:pPr>
        <w:ind w:left="4108" w:hanging="360"/>
      </w:pPr>
      <w:rPr>
        <w:rFonts w:hint="default"/>
        <w:lang w:val="en-US" w:eastAsia="en-US" w:bidi="en-US"/>
      </w:rPr>
    </w:lvl>
    <w:lvl w:ilvl="5" w:tplc="3E824FE2">
      <w:numFmt w:val="bullet"/>
      <w:lvlText w:val="•"/>
      <w:lvlJc w:val="left"/>
      <w:pPr>
        <w:ind w:left="5020" w:hanging="360"/>
      </w:pPr>
      <w:rPr>
        <w:rFonts w:hint="default"/>
        <w:lang w:val="en-US" w:eastAsia="en-US" w:bidi="en-US"/>
      </w:rPr>
    </w:lvl>
    <w:lvl w:ilvl="6" w:tplc="0EF8852A">
      <w:numFmt w:val="bullet"/>
      <w:lvlText w:val="•"/>
      <w:lvlJc w:val="left"/>
      <w:pPr>
        <w:ind w:left="5932" w:hanging="360"/>
      </w:pPr>
      <w:rPr>
        <w:rFonts w:hint="default"/>
        <w:lang w:val="en-US" w:eastAsia="en-US" w:bidi="en-US"/>
      </w:rPr>
    </w:lvl>
    <w:lvl w:ilvl="7" w:tplc="180610C8">
      <w:numFmt w:val="bullet"/>
      <w:lvlText w:val="•"/>
      <w:lvlJc w:val="left"/>
      <w:pPr>
        <w:ind w:left="6844" w:hanging="360"/>
      </w:pPr>
      <w:rPr>
        <w:rFonts w:hint="default"/>
        <w:lang w:val="en-US" w:eastAsia="en-US" w:bidi="en-US"/>
      </w:rPr>
    </w:lvl>
    <w:lvl w:ilvl="8" w:tplc="45D8C4B6">
      <w:numFmt w:val="bullet"/>
      <w:lvlText w:val="•"/>
      <w:lvlJc w:val="left"/>
      <w:pPr>
        <w:ind w:left="7756" w:hanging="360"/>
      </w:pPr>
      <w:rPr>
        <w:rFonts w:hint="default"/>
        <w:lang w:val="en-US" w:eastAsia="en-US" w:bidi="en-U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5DD4"/>
    <w:rsid w:val="005D5DD4"/>
    <w:rsid w:val="00916733"/>
    <w:rsid w:val="00927C72"/>
    <w:rsid w:val="009D01AA"/>
    <w:rsid w:val="00B1494F"/>
    <w:rsid w:val="00C3070E"/>
    <w:rsid w:val="00CD19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AA22AD4"/>
  <w15:docId w15:val="{0DB9369B-0BB7-4A04-989A-E3FA7323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460" w:hanging="360"/>
      <w:jc w:val="both"/>
    </w:pPr>
  </w:style>
  <w:style w:type="paragraph" w:customStyle="1" w:styleId="TableParagraph">
    <w:name w:val="Table Paragraph"/>
    <w:basedOn w:val="Normal"/>
    <w:uiPriority w:val="1"/>
    <w:qFormat/>
    <w:pPr>
      <w:spacing w:line="233" w:lineRule="exact"/>
    </w:pPr>
  </w:style>
  <w:style w:type="character" w:styleId="Hyperlink">
    <w:name w:val="Hyperlink"/>
    <w:semiHidden/>
    <w:rsid w:val="009D01AA"/>
    <w:rPr>
      <w:color w:val="0000FF"/>
      <w:u w:val="single"/>
    </w:rPr>
  </w:style>
  <w:style w:type="character" w:styleId="FollowedHyperlink">
    <w:name w:val="FollowedHyperlink"/>
    <w:basedOn w:val="DefaultParagraphFont"/>
    <w:uiPriority w:val="99"/>
    <w:semiHidden/>
    <w:unhideWhenUsed/>
    <w:rsid w:val="00CD193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cms.lla.la.gov/assets/documents/Agreed-Upon-Procedures-Report_3-23-2022.docx" TargetMode="External"/><Relationship Id="rId3" Type="http://schemas.openxmlformats.org/officeDocument/2006/relationships/settings" Target="settings.xml"/><Relationship Id="rId7" Type="http://schemas.openxmlformats.org/officeDocument/2006/relationships/hyperlink" Target="http://www.lsrtbe.or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StateContracts@lla.la.gov"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528</Words>
  <Characters>3015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Agency Name and Address:</vt:lpstr>
    </vt:vector>
  </TitlesOfParts>
  <Company/>
  <LinksUpToDate>false</LinksUpToDate>
  <CharactersWithSpaces>3536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Name and Address:</dc:title>
  <dc:creator>Legislative Auditor</dc:creator>
  <cp:lastModifiedBy>Carrie Stein Thompson</cp:lastModifiedBy>
  <cp:revision>6</cp:revision>
  <dcterms:created xsi:type="dcterms:W3CDTF">2025-03-20T16:44:00Z</dcterms:created>
  <dcterms:modified xsi:type="dcterms:W3CDTF">2025-04-08T15:05:00Z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2025-03-20T00:00:00Z</vt:filetime>
  </property>
  <property fmtid="{D5CDD505-2E9C-101B-9397-08002B2CF9AE}" pid="3" name="Creator">
    <vt:lpwstr>Microsoft® Word for Microsoft 365</vt:lpwstr>
  </property>
  <property fmtid="{D5CDD505-2E9C-101B-9397-08002B2CF9AE}" pid="4" name="LastSaved">
    <vt:filetime>2025-03-20T00:00:00Z</vt:filetime>
  </property>
</Properties>
</file>