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D952" w14:textId="77777777" w:rsidR="002840D3" w:rsidRPr="006A7148" w:rsidRDefault="002840D3" w:rsidP="00B47F9E">
      <w:pPr>
        <w:spacing w:after="120"/>
        <w:rPr>
          <w:rFonts w:ascii="Arial" w:hAnsi="Arial" w:cs="Arial"/>
          <w:b/>
          <w:sz w:val="20"/>
        </w:rPr>
      </w:pPr>
      <w:r w:rsidRPr="006A7148">
        <w:rPr>
          <w:rFonts w:ascii="Arial" w:hAnsi="Arial" w:cs="Arial"/>
          <w:b/>
          <w:sz w:val="20"/>
        </w:rPr>
        <w:t>Agency Name and Address:</w:t>
      </w:r>
    </w:p>
    <w:p w14:paraId="4ADBE6F2" w14:textId="0EFB876E" w:rsidR="00433BEE" w:rsidRPr="006A7148" w:rsidRDefault="00433BEE" w:rsidP="00433BEE">
      <w:pPr>
        <w:ind w:left="720"/>
        <w:rPr>
          <w:rFonts w:ascii="Arial" w:hAnsi="Arial" w:cs="Arial"/>
          <w:sz w:val="20"/>
        </w:rPr>
      </w:pPr>
      <w:r w:rsidRPr="006A7148">
        <w:rPr>
          <w:rFonts w:ascii="Arial" w:hAnsi="Arial" w:cs="Arial"/>
          <w:sz w:val="20"/>
        </w:rPr>
        <w:t xml:space="preserve">Louisiana </w:t>
      </w:r>
      <w:r w:rsidR="002E4E97">
        <w:rPr>
          <w:rFonts w:ascii="Arial" w:hAnsi="Arial" w:cs="Arial"/>
          <w:sz w:val="20"/>
        </w:rPr>
        <w:t>State Licensing Board for Contractors</w:t>
      </w:r>
    </w:p>
    <w:p w14:paraId="7137A8AE" w14:textId="62A5DC15" w:rsidR="00433BEE" w:rsidRPr="006A7148" w:rsidRDefault="002E4E97" w:rsidP="00433BEE">
      <w:pPr>
        <w:ind w:left="720"/>
        <w:rPr>
          <w:rFonts w:ascii="Arial" w:hAnsi="Arial" w:cs="Arial"/>
          <w:sz w:val="20"/>
        </w:rPr>
      </w:pPr>
      <w:r>
        <w:rPr>
          <w:rFonts w:ascii="Arial" w:hAnsi="Arial" w:cs="Arial"/>
          <w:sz w:val="20"/>
        </w:rPr>
        <w:t>600 North Street</w:t>
      </w:r>
    </w:p>
    <w:p w14:paraId="7F4F0215" w14:textId="5F3400CF" w:rsidR="00433BEE" w:rsidRPr="006A7148" w:rsidRDefault="00433BEE" w:rsidP="00433BEE">
      <w:pPr>
        <w:ind w:left="720"/>
        <w:rPr>
          <w:rFonts w:ascii="Arial" w:hAnsi="Arial" w:cs="Arial"/>
          <w:sz w:val="20"/>
        </w:rPr>
      </w:pPr>
      <w:r w:rsidRPr="006A7148">
        <w:rPr>
          <w:rFonts w:ascii="Arial" w:hAnsi="Arial" w:cs="Arial"/>
          <w:sz w:val="20"/>
        </w:rPr>
        <w:t xml:space="preserve">Baton Rouge, Louisiana </w:t>
      </w:r>
      <w:r w:rsidR="00646FA1" w:rsidRPr="006A7148">
        <w:rPr>
          <w:rFonts w:ascii="Arial" w:hAnsi="Arial" w:cs="Arial"/>
          <w:sz w:val="20"/>
        </w:rPr>
        <w:t>7080</w:t>
      </w:r>
      <w:r w:rsidR="002E4E97">
        <w:rPr>
          <w:rFonts w:ascii="Arial" w:hAnsi="Arial" w:cs="Arial"/>
          <w:sz w:val="20"/>
        </w:rPr>
        <w:t>2</w:t>
      </w:r>
    </w:p>
    <w:p w14:paraId="150FEEF8" w14:textId="77777777" w:rsidR="00433BEE" w:rsidRPr="006A7148" w:rsidRDefault="00433BEE" w:rsidP="00433BEE">
      <w:pPr>
        <w:ind w:left="720"/>
        <w:rPr>
          <w:rFonts w:ascii="Arial" w:hAnsi="Arial" w:cs="Arial"/>
          <w:sz w:val="20"/>
        </w:rPr>
      </w:pPr>
    </w:p>
    <w:p w14:paraId="1F4F6601" w14:textId="637346E1" w:rsidR="00433BEE" w:rsidRPr="006A7148" w:rsidRDefault="00433BEE" w:rsidP="00433BEE">
      <w:pPr>
        <w:ind w:left="360" w:firstLine="360"/>
        <w:rPr>
          <w:rStyle w:val="Hyperlink"/>
          <w:rFonts w:ascii="Arial" w:hAnsi="Arial" w:cs="Arial"/>
          <w:sz w:val="20"/>
        </w:rPr>
      </w:pPr>
      <w:r w:rsidRPr="006A7148">
        <w:rPr>
          <w:rFonts w:ascii="Arial" w:hAnsi="Arial" w:cs="Arial"/>
          <w:sz w:val="20"/>
        </w:rPr>
        <w:t xml:space="preserve">Website:  </w:t>
      </w:r>
      <w:hyperlink r:id="rId7" w:history="1">
        <w:r w:rsidR="002E4E97" w:rsidRPr="00D06972">
          <w:rPr>
            <w:rStyle w:val="Hyperlink"/>
            <w:rFonts w:ascii="Arial" w:hAnsi="Arial" w:cs="Arial"/>
            <w:sz w:val="20"/>
          </w:rPr>
          <w:t>https://lslbc.louisiana.gov/</w:t>
        </w:r>
      </w:hyperlink>
      <w:r w:rsidR="002E4E97">
        <w:rPr>
          <w:rFonts w:ascii="Arial" w:hAnsi="Arial" w:cs="Arial"/>
          <w:sz w:val="20"/>
        </w:rPr>
        <w:t xml:space="preserve"> </w:t>
      </w:r>
    </w:p>
    <w:p w14:paraId="4408F9E6" w14:textId="77777777" w:rsidR="00433BEE" w:rsidRPr="006A7148" w:rsidRDefault="00433BEE" w:rsidP="00433BEE">
      <w:pPr>
        <w:ind w:left="360"/>
        <w:rPr>
          <w:rStyle w:val="Hyperlink"/>
          <w:rFonts w:ascii="Arial" w:hAnsi="Arial" w:cs="Arial"/>
          <w:sz w:val="20"/>
        </w:rPr>
      </w:pPr>
    </w:p>
    <w:p w14:paraId="2767B59D" w14:textId="7A11A1B3" w:rsidR="002840D3" w:rsidRPr="002E4E97" w:rsidRDefault="002840D3" w:rsidP="00B47F9E">
      <w:pPr>
        <w:spacing w:after="220"/>
        <w:rPr>
          <w:rFonts w:ascii="Arial" w:hAnsi="Arial" w:cs="Arial"/>
          <w:sz w:val="20"/>
        </w:rPr>
      </w:pPr>
      <w:r w:rsidRPr="002E4E97">
        <w:rPr>
          <w:rFonts w:ascii="Arial" w:hAnsi="Arial" w:cs="Arial"/>
          <w:b/>
          <w:sz w:val="20"/>
        </w:rPr>
        <w:t>Solicitation Number:</w:t>
      </w:r>
      <w:r w:rsidR="007532C5" w:rsidRPr="002E4E97">
        <w:rPr>
          <w:rFonts w:ascii="Arial" w:hAnsi="Arial" w:cs="Arial"/>
          <w:sz w:val="20"/>
        </w:rPr>
        <w:t xml:space="preserve">  </w:t>
      </w:r>
      <w:r w:rsidR="005D1D13" w:rsidRPr="002E4E97">
        <w:rPr>
          <w:rFonts w:ascii="Arial" w:hAnsi="Arial" w:cs="Arial"/>
          <w:sz w:val="20"/>
        </w:rPr>
        <w:t>2</w:t>
      </w:r>
      <w:r w:rsidR="00FC0D19">
        <w:rPr>
          <w:rFonts w:ascii="Arial" w:hAnsi="Arial" w:cs="Arial"/>
          <w:sz w:val="20"/>
        </w:rPr>
        <w:t>5</w:t>
      </w:r>
      <w:r w:rsidR="00B80706" w:rsidRPr="002E4E97">
        <w:rPr>
          <w:rFonts w:ascii="Arial" w:hAnsi="Arial" w:cs="Arial"/>
          <w:sz w:val="20"/>
        </w:rPr>
        <w:t>-</w:t>
      </w:r>
      <w:r w:rsidR="002E4E97" w:rsidRPr="002E4E97">
        <w:rPr>
          <w:rFonts w:ascii="Arial" w:hAnsi="Arial" w:cs="Arial"/>
          <w:sz w:val="20"/>
        </w:rPr>
        <w:t>5042</w:t>
      </w:r>
    </w:p>
    <w:p w14:paraId="50AEFF55" w14:textId="2488AB7C" w:rsidR="00FE1BA6" w:rsidRPr="002E4E97" w:rsidRDefault="00B43E13" w:rsidP="00B47F9E">
      <w:pPr>
        <w:spacing w:after="220"/>
        <w:jc w:val="left"/>
        <w:rPr>
          <w:rFonts w:ascii="Arial" w:hAnsi="Arial" w:cs="Arial"/>
          <w:sz w:val="20"/>
        </w:rPr>
      </w:pPr>
      <w:r w:rsidRPr="002E4E97">
        <w:rPr>
          <w:rFonts w:ascii="Arial" w:hAnsi="Arial" w:cs="Arial"/>
          <w:b/>
          <w:sz w:val="20"/>
        </w:rPr>
        <w:t>Type of Engagement:</w:t>
      </w:r>
      <w:r w:rsidRPr="002E4E97">
        <w:rPr>
          <w:rFonts w:ascii="Arial" w:hAnsi="Arial" w:cs="Arial"/>
          <w:sz w:val="20"/>
        </w:rPr>
        <w:t xml:space="preserve">  </w:t>
      </w:r>
      <w:r w:rsidR="002E4E97" w:rsidRPr="002E4E97">
        <w:rPr>
          <w:rFonts w:ascii="Arial" w:hAnsi="Arial" w:cs="Arial"/>
          <w:sz w:val="20"/>
        </w:rPr>
        <w:t>Audit</w:t>
      </w:r>
    </w:p>
    <w:p w14:paraId="64863BAA" w14:textId="5EA8E4B2" w:rsidR="002840D3" w:rsidRPr="002E4E97" w:rsidRDefault="002840D3" w:rsidP="00B47F9E">
      <w:pPr>
        <w:spacing w:after="220"/>
        <w:rPr>
          <w:rFonts w:ascii="Arial" w:hAnsi="Arial" w:cs="Arial"/>
          <w:sz w:val="20"/>
        </w:rPr>
      </w:pPr>
      <w:r w:rsidRPr="002E4E97">
        <w:rPr>
          <w:rFonts w:ascii="Arial" w:hAnsi="Arial" w:cs="Arial"/>
          <w:b/>
          <w:sz w:val="20"/>
        </w:rPr>
        <w:t>Contract Period:</w:t>
      </w:r>
      <w:r w:rsidRPr="002E4E97">
        <w:rPr>
          <w:rFonts w:ascii="Arial" w:hAnsi="Arial" w:cs="Arial"/>
          <w:sz w:val="20"/>
        </w:rPr>
        <w:t xml:space="preserve">  </w:t>
      </w:r>
      <w:r w:rsidR="002E4E97" w:rsidRPr="002E4E97">
        <w:rPr>
          <w:rFonts w:ascii="Arial" w:hAnsi="Arial" w:cs="Arial"/>
          <w:sz w:val="20"/>
        </w:rPr>
        <w:t>December</w:t>
      </w:r>
      <w:r w:rsidR="00271C82" w:rsidRPr="002E4E97">
        <w:rPr>
          <w:rFonts w:ascii="Arial" w:hAnsi="Arial" w:cs="Arial"/>
          <w:sz w:val="20"/>
        </w:rPr>
        <w:t xml:space="preserve"> 1</w:t>
      </w:r>
      <w:r w:rsidR="00B91C12" w:rsidRPr="002E4E97">
        <w:rPr>
          <w:rFonts w:ascii="Arial" w:hAnsi="Arial" w:cs="Arial"/>
          <w:sz w:val="20"/>
        </w:rPr>
        <w:t>, 20</w:t>
      </w:r>
      <w:r w:rsidR="005D1D13" w:rsidRPr="002E4E97">
        <w:rPr>
          <w:rFonts w:ascii="Arial" w:hAnsi="Arial" w:cs="Arial"/>
          <w:sz w:val="20"/>
        </w:rPr>
        <w:t>2</w:t>
      </w:r>
      <w:r w:rsidR="00FC0D19">
        <w:rPr>
          <w:rFonts w:ascii="Arial" w:hAnsi="Arial" w:cs="Arial"/>
          <w:sz w:val="20"/>
        </w:rPr>
        <w:t>5</w:t>
      </w:r>
      <w:r w:rsidR="00833E13" w:rsidRPr="002E4E97">
        <w:rPr>
          <w:rFonts w:ascii="Arial" w:hAnsi="Arial" w:cs="Arial"/>
          <w:sz w:val="20"/>
        </w:rPr>
        <w:t xml:space="preserve"> </w:t>
      </w:r>
      <w:r w:rsidR="00776C71" w:rsidRPr="002E4E97">
        <w:rPr>
          <w:rFonts w:ascii="Arial" w:hAnsi="Arial" w:cs="Arial"/>
          <w:sz w:val="20"/>
        </w:rPr>
        <w:t>–</w:t>
      </w:r>
      <w:r w:rsidR="00833E13" w:rsidRPr="002E4E97">
        <w:rPr>
          <w:rFonts w:ascii="Arial" w:hAnsi="Arial" w:cs="Arial"/>
          <w:sz w:val="20"/>
        </w:rPr>
        <w:t xml:space="preserve"> </w:t>
      </w:r>
      <w:r w:rsidR="002E4E97" w:rsidRPr="002E4E97">
        <w:rPr>
          <w:rFonts w:ascii="Arial" w:hAnsi="Arial" w:cs="Arial"/>
          <w:sz w:val="20"/>
        </w:rPr>
        <w:t>June</w:t>
      </w:r>
      <w:r w:rsidR="00197A3F" w:rsidRPr="002E4E97">
        <w:rPr>
          <w:rFonts w:ascii="Arial" w:hAnsi="Arial" w:cs="Arial"/>
          <w:sz w:val="20"/>
        </w:rPr>
        <w:t xml:space="preserve"> </w:t>
      </w:r>
      <w:r w:rsidR="00B47F9E" w:rsidRPr="002E4E97">
        <w:rPr>
          <w:rFonts w:ascii="Arial" w:hAnsi="Arial" w:cs="Arial"/>
          <w:sz w:val="20"/>
        </w:rPr>
        <w:t>30</w:t>
      </w:r>
      <w:r w:rsidR="00833E13" w:rsidRPr="002E4E97">
        <w:rPr>
          <w:rFonts w:ascii="Arial" w:hAnsi="Arial" w:cs="Arial"/>
          <w:sz w:val="20"/>
        </w:rPr>
        <w:t xml:space="preserve">, </w:t>
      </w:r>
      <w:r w:rsidR="007532C5" w:rsidRPr="002E4E97">
        <w:rPr>
          <w:rFonts w:ascii="Arial" w:hAnsi="Arial" w:cs="Arial"/>
          <w:sz w:val="20"/>
        </w:rPr>
        <w:t>20</w:t>
      </w:r>
      <w:r w:rsidR="005D1D13" w:rsidRPr="002E4E97">
        <w:rPr>
          <w:rFonts w:ascii="Arial" w:hAnsi="Arial" w:cs="Arial"/>
          <w:sz w:val="20"/>
        </w:rPr>
        <w:t>2</w:t>
      </w:r>
      <w:r w:rsidR="00FC0D19">
        <w:rPr>
          <w:rFonts w:ascii="Arial" w:hAnsi="Arial" w:cs="Arial"/>
          <w:sz w:val="20"/>
        </w:rPr>
        <w:t>8</w:t>
      </w:r>
    </w:p>
    <w:p w14:paraId="0CABD628" w14:textId="049B95A9" w:rsidR="002840D3" w:rsidRPr="002E4E97" w:rsidRDefault="002840D3" w:rsidP="00B47F9E">
      <w:pPr>
        <w:spacing w:after="220"/>
        <w:rPr>
          <w:rFonts w:ascii="Arial" w:hAnsi="Arial" w:cs="Arial"/>
          <w:sz w:val="20"/>
        </w:rPr>
      </w:pPr>
      <w:r w:rsidRPr="002E4E97">
        <w:rPr>
          <w:rFonts w:ascii="Arial" w:hAnsi="Arial" w:cs="Arial"/>
          <w:b/>
          <w:sz w:val="20"/>
        </w:rPr>
        <w:t xml:space="preserve">Periods to be </w:t>
      </w:r>
      <w:r w:rsidR="00B43E13" w:rsidRPr="002E4E97">
        <w:rPr>
          <w:rFonts w:ascii="Arial" w:hAnsi="Arial" w:cs="Arial"/>
          <w:b/>
          <w:sz w:val="20"/>
        </w:rPr>
        <w:t>Examined</w:t>
      </w:r>
      <w:r w:rsidRPr="002E4E97">
        <w:rPr>
          <w:rFonts w:ascii="Arial" w:hAnsi="Arial" w:cs="Arial"/>
          <w:b/>
          <w:sz w:val="20"/>
        </w:rPr>
        <w:t>:</w:t>
      </w:r>
      <w:r w:rsidR="002F6978" w:rsidRPr="002E4E97">
        <w:rPr>
          <w:rFonts w:ascii="Arial" w:hAnsi="Arial" w:cs="Arial"/>
          <w:sz w:val="20"/>
        </w:rPr>
        <w:t xml:space="preserve"> </w:t>
      </w:r>
      <w:r w:rsidR="00391B9D" w:rsidRPr="002E4E97">
        <w:rPr>
          <w:rFonts w:ascii="Arial" w:hAnsi="Arial" w:cs="Arial"/>
          <w:sz w:val="20"/>
        </w:rPr>
        <w:t xml:space="preserve">Years ending </w:t>
      </w:r>
      <w:r w:rsidR="002E4E97" w:rsidRPr="002E4E97">
        <w:rPr>
          <w:rFonts w:ascii="Arial" w:hAnsi="Arial" w:cs="Arial"/>
          <w:sz w:val="20"/>
        </w:rPr>
        <w:t>December 31, 202</w:t>
      </w:r>
      <w:r w:rsidR="00FC0D19">
        <w:rPr>
          <w:rFonts w:ascii="Arial" w:hAnsi="Arial" w:cs="Arial"/>
          <w:sz w:val="20"/>
        </w:rPr>
        <w:t>5</w:t>
      </w:r>
      <w:r w:rsidR="009363A2" w:rsidRPr="002E4E97">
        <w:rPr>
          <w:rFonts w:ascii="Arial" w:hAnsi="Arial" w:cs="Arial"/>
          <w:sz w:val="20"/>
        </w:rPr>
        <w:t>;</w:t>
      </w:r>
      <w:r w:rsidR="00833E13" w:rsidRPr="002E4E97">
        <w:rPr>
          <w:rFonts w:ascii="Arial" w:hAnsi="Arial" w:cs="Arial"/>
          <w:sz w:val="20"/>
        </w:rPr>
        <w:t xml:space="preserve"> </w:t>
      </w:r>
      <w:r w:rsidR="002E4E97" w:rsidRPr="002E4E97">
        <w:rPr>
          <w:rFonts w:ascii="Arial" w:hAnsi="Arial" w:cs="Arial"/>
          <w:sz w:val="20"/>
        </w:rPr>
        <w:t>December 31, 202</w:t>
      </w:r>
      <w:r w:rsidR="00FC0D19">
        <w:rPr>
          <w:rFonts w:ascii="Arial" w:hAnsi="Arial" w:cs="Arial"/>
          <w:sz w:val="20"/>
        </w:rPr>
        <w:t>6</w:t>
      </w:r>
      <w:r w:rsidR="009363A2" w:rsidRPr="002E4E97">
        <w:rPr>
          <w:rFonts w:ascii="Arial" w:hAnsi="Arial" w:cs="Arial"/>
          <w:sz w:val="20"/>
        </w:rPr>
        <w:t>;</w:t>
      </w:r>
      <w:r w:rsidR="00833E13" w:rsidRPr="002E4E97">
        <w:rPr>
          <w:rFonts w:ascii="Arial" w:hAnsi="Arial" w:cs="Arial"/>
          <w:sz w:val="20"/>
        </w:rPr>
        <w:t xml:space="preserve"> and </w:t>
      </w:r>
      <w:r w:rsidR="002E4E97" w:rsidRPr="002E4E97">
        <w:rPr>
          <w:rFonts w:ascii="Arial" w:hAnsi="Arial" w:cs="Arial"/>
          <w:sz w:val="20"/>
        </w:rPr>
        <w:t>December 31, 202</w:t>
      </w:r>
      <w:r w:rsidR="00FC0D19">
        <w:rPr>
          <w:rFonts w:ascii="Arial" w:hAnsi="Arial" w:cs="Arial"/>
          <w:sz w:val="20"/>
        </w:rPr>
        <w:t>7</w:t>
      </w:r>
    </w:p>
    <w:p w14:paraId="3D9452B9" w14:textId="77777777" w:rsidR="002E4E97" w:rsidRPr="002E4E97" w:rsidRDefault="002E4E97" w:rsidP="002E4E97">
      <w:pPr>
        <w:spacing w:after="240"/>
        <w:rPr>
          <w:rFonts w:ascii="Arial" w:hAnsi="Arial" w:cs="Arial"/>
          <w:b/>
          <w:sz w:val="20"/>
        </w:rPr>
      </w:pPr>
      <w:r w:rsidRPr="002E4E97">
        <w:rPr>
          <w:rFonts w:ascii="Arial" w:hAnsi="Arial" w:cs="Arial"/>
          <w:b/>
          <w:sz w:val="20"/>
        </w:rPr>
        <w:t>Description of the State Agency:</w:t>
      </w:r>
    </w:p>
    <w:p w14:paraId="7E3654F3" w14:textId="71E42ED7" w:rsidR="002E4E97" w:rsidRPr="0002104C" w:rsidRDefault="002E4E97" w:rsidP="002E4E97">
      <w:pPr>
        <w:pStyle w:val="Bullet"/>
        <w:tabs>
          <w:tab w:val="clear" w:pos="720"/>
          <w:tab w:val="num" w:pos="360"/>
        </w:tabs>
        <w:ind w:left="360" w:hanging="360"/>
        <w:rPr>
          <w:rFonts w:ascii="Arial" w:hAnsi="Arial" w:cs="Arial"/>
          <w:sz w:val="20"/>
          <w:szCs w:val="20"/>
        </w:rPr>
      </w:pPr>
      <w:r w:rsidRPr="002E4E97">
        <w:rPr>
          <w:rFonts w:ascii="Arial" w:hAnsi="Arial" w:cs="Arial"/>
          <w:sz w:val="20"/>
          <w:szCs w:val="20"/>
        </w:rPr>
        <w:t>The Louisiana State Licensing Board for Contractors was created in 1956 for the purpose of the protection of the health, safety, and general welfare of the citizens dealing with persons engaged in the contracting vocation, and affording citizens an effective and practical protection against incompetent, inexperienced, unlawful, and fraudulent acts of contracto</w:t>
      </w:r>
      <w:bookmarkStart w:id="0" w:name="_GoBack"/>
      <w:bookmarkEnd w:id="0"/>
      <w:r w:rsidRPr="002E4E97">
        <w:rPr>
          <w:rFonts w:ascii="Arial" w:hAnsi="Arial" w:cs="Arial"/>
          <w:sz w:val="20"/>
          <w:szCs w:val="20"/>
        </w:rPr>
        <w:t xml:space="preserve">rs with whom they contract, as provided by Louisiana Revised Statute (R.S.) 37:2150. In addition, the Board is responsible for monitoring </w:t>
      </w:r>
      <w:r w:rsidRPr="0002104C">
        <w:rPr>
          <w:rFonts w:ascii="Arial" w:hAnsi="Arial" w:cs="Arial"/>
          <w:sz w:val="20"/>
          <w:szCs w:val="20"/>
        </w:rPr>
        <w:t xml:space="preserve">construction projects to ensure compliance with the statutory and regulatory licensure requirements. </w:t>
      </w:r>
    </w:p>
    <w:p w14:paraId="0565F501" w14:textId="763A1205" w:rsidR="002E4E97" w:rsidRPr="0002104C" w:rsidRDefault="002E4E97" w:rsidP="002E4E97">
      <w:pPr>
        <w:pStyle w:val="Bullet"/>
        <w:tabs>
          <w:tab w:val="clear" w:pos="720"/>
          <w:tab w:val="num" w:pos="360"/>
        </w:tabs>
        <w:ind w:left="360" w:hanging="360"/>
        <w:rPr>
          <w:rFonts w:ascii="Arial" w:hAnsi="Arial" w:cs="Arial"/>
          <w:sz w:val="20"/>
          <w:szCs w:val="20"/>
        </w:rPr>
      </w:pPr>
      <w:r w:rsidRPr="0002104C">
        <w:rPr>
          <w:rFonts w:ascii="Arial" w:hAnsi="Arial" w:cs="Arial"/>
          <w:sz w:val="20"/>
          <w:szCs w:val="20"/>
        </w:rPr>
        <w:t xml:space="preserve">The board is composed of </w:t>
      </w:r>
      <w:r w:rsidR="0002104C" w:rsidRPr="0002104C">
        <w:rPr>
          <w:rFonts w:ascii="Arial" w:hAnsi="Arial" w:cs="Arial"/>
          <w:sz w:val="20"/>
          <w:szCs w:val="20"/>
        </w:rPr>
        <w:t>at least one member from each congressional district in Louisiana.</w:t>
      </w:r>
      <w:r w:rsidRPr="0002104C">
        <w:rPr>
          <w:rFonts w:ascii="Arial" w:hAnsi="Arial" w:cs="Arial"/>
          <w:sz w:val="20"/>
          <w:szCs w:val="20"/>
        </w:rPr>
        <w:t xml:space="preserve"> </w:t>
      </w:r>
      <w:r w:rsidR="0002104C" w:rsidRPr="0002104C">
        <w:rPr>
          <w:rFonts w:ascii="Arial" w:hAnsi="Arial" w:cs="Arial"/>
          <w:sz w:val="20"/>
          <w:szCs w:val="20"/>
        </w:rPr>
        <w:t>M</w:t>
      </w:r>
      <w:r w:rsidRPr="0002104C">
        <w:rPr>
          <w:rFonts w:ascii="Arial" w:hAnsi="Arial" w:cs="Arial"/>
          <w:sz w:val="20"/>
          <w:szCs w:val="20"/>
        </w:rPr>
        <w:t>embers</w:t>
      </w:r>
      <w:r w:rsidR="0002104C" w:rsidRPr="0002104C">
        <w:rPr>
          <w:rFonts w:ascii="Arial" w:hAnsi="Arial" w:cs="Arial"/>
          <w:sz w:val="20"/>
          <w:szCs w:val="20"/>
        </w:rPr>
        <w:t xml:space="preserve"> serve terms of</w:t>
      </w:r>
      <w:r w:rsidRPr="0002104C">
        <w:rPr>
          <w:rFonts w:ascii="Arial" w:hAnsi="Arial" w:cs="Arial"/>
          <w:sz w:val="20"/>
          <w:szCs w:val="20"/>
        </w:rPr>
        <w:t xml:space="preserve"> </w:t>
      </w:r>
      <w:r w:rsidR="0002104C" w:rsidRPr="0002104C">
        <w:rPr>
          <w:rFonts w:ascii="Arial" w:hAnsi="Arial" w:cs="Arial"/>
          <w:sz w:val="20"/>
          <w:szCs w:val="20"/>
        </w:rPr>
        <w:t>six years</w:t>
      </w:r>
      <w:r w:rsidRPr="0002104C">
        <w:rPr>
          <w:rFonts w:ascii="Arial" w:hAnsi="Arial" w:cs="Arial"/>
          <w:sz w:val="20"/>
          <w:szCs w:val="20"/>
        </w:rPr>
        <w:t xml:space="preserve">.  Board members are not authorized to receive salary, but may </w:t>
      </w:r>
      <w:r w:rsidR="0002104C" w:rsidRPr="0002104C">
        <w:rPr>
          <w:rFonts w:ascii="Arial" w:hAnsi="Arial" w:cs="Arial"/>
          <w:sz w:val="20"/>
          <w:szCs w:val="20"/>
        </w:rPr>
        <w:t xml:space="preserve">receive $75 per diem for each day spent on board business and may </w:t>
      </w:r>
      <w:r w:rsidRPr="0002104C">
        <w:rPr>
          <w:rFonts w:ascii="Arial" w:hAnsi="Arial" w:cs="Arial"/>
          <w:sz w:val="20"/>
          <w:szCs w:val="20"/>
        </w:rPr>
        <w:t xml:space="preserve">be reimbursed for certain expenses incurred in the performance of their duties, as provided by R.S. </w:t>
      </w:r>
      <w:r w:rsidR="0002104C" w:rsidRPr="0002104C">
        <w:rPr>
          <w:rFonts w:ascii="Arial" w:hAnsi="Arial" w:cs="Arial"/>
          <w:sz w:val="20"/>
          <w:szCs w:val="20"/>
        </w:rPr>
        <w:t>37:2154</w:t>
      </w:r>
      <w:r w:rsidRPr="0002104C">
        <w:rPr>
          <w:rFonts w:ascii="Arial" w:hAnsi="Arial" w:cs="Arial"/>
          <w:sz w:val="20"/>
          <w:szCs w:val="20"/>
        </w:rPr>
        <w:t>.</w:t>
      </w:r>
    </w:p>
    <w:p w14:paraId="3374CB41" w14:textId="2BC59D39" w:rsidR="002E4E97" w:rsidRPr="007E1AEF" w:rsidRDefault="002E4E97" w:rsidP="002E4E97">
      <w:pPr>
        <w:pStyle w:val="Bullet"/>
        <w:tabs>
          <w:tab w:val="clear" w:pos="720"/>
          <w:tab w:val="num" w:pos="360"/>
        </w:tabs>
        <w:ind w:left="360" w:hanging="360"/>
        <w:rPr>
          <w:rFonts w:ascii="Arial" w:hAnsi="Arial" w:cs="Arial"/>
          <w:sz w:val="20"/>
          <w:szCs w:val="20"/>
        </w:rPr>
      </w:pPr>
      <w:r w:rsidRPr="0002104C">
        <w:rPr>
          <w:rFonts w:ascii="Arial" w:hAnsi="Arial" w:cs="Arial"/>
          <w:sz w:val="20"/>
          <w:szCs w:val="20"/>
        </w:rPr>
        <w:t xml:space="preserve">The board holds </w:t>
      </w:r>
      <w:r w:rsidR="0002104C" w:rsidRPr="0002104C">
        <w:rPr>
          <w:rFonts w:ascii="Arial" w:hAnsi="Arial" w:cs="Arial"/>
          <w:sz w:val="20"/>
          <w:szCs w:val="20"/>
        </w:rPr>
        <w:t>monthly</w:t>
      </w:r>
      <w:r w:rsidRPr="0002104C">
        <w:rPr>
          <w:rFonts w:ascii="Arial" w:hAnsi="Arial" w:cs="Arial"/>
          <w:sz w:val="20"/>
          <w:szCs w:val="20"/>
        </w:rPr>
        <w:t xml:space="preserve"> meetings.  At each meeting, the board </w:t>
      </w:r>
      <w:r w:rsidR="00EB696F" w:rsidRPr="007E1AEF">
        <w:rPr>
          <w:rFonts w:ascii="Arial" w:hAnsi="Arial" w:cs="Arial"/>
          <w:iCs/>
          <w:sz w:val="20"/>
          <w:szCs w:val="20"/>
        </w:rPr>
        <w:t xml:space="preserve">hears </w:t>
      </w:r>
      <w:r w:rsidR="007E1AEF" w:rsidRPr="007E1AEF">
        <w:rPr>
          <w:rFonts w:ascii="Arial" w:hAnsi="Arial" w:cs="Arial"/>
          <w:iCs/>
          <w:sz w:val="20"/>
          <w:szCs w:val="20"/>
        </w:rPr>
        <w:t xml:space="preserve">and rules on </w:t>
      </w:r>
      <w:r w:rsidR="00EB696F" w:rsidRPr="007E1AEF">
        <w:rPr>
          <w:rFonts w:ascii="Arial" w:hAnsi="Arial" w:cs="Arial"/>
          <w:iCs/>
          <w:sz w:val="20"/>
          <w:szCs w:val="20"/>
        </w:rPr>
        <w:t xml:space="preserve">administrative cases regarding contractor violations of LSLBC Rules and Law. </w:t>
      </w:r>
    </w:p>
    <w:p w14:paraId="012004CD" w14:textId="2C8BA5CE" w:rsidR="00D61237" w:rsidRPr="006F7926" w:rsidRDefault="002E4E97" w:rsidP="00D61237">
      <w:pPr>
        <w:pStyle w:val="Bullet"/>
        <w:tabs>
          <w:tab w:val="clear" w:pos="720"/>
          <w:tab w:val="num" w:pos="360"/>
        </w:tabs>
        <w:ind w:left="360" w:hanging="360"/>
        <w:rPr>
          <w:rFonts w:ascii="Arial" w:hAnsi="Arial" w:cs="Arial"/>
          <w:sz w:val="20"/>
          <w:szCs w:val="20"/>
        </w:rPr>
      </w:pPr>
      <w:r w:rsidRPr="00EB696F">
        <w:rPr>
          <w:rFonts w:ascii="Arial" w:hAnsi="Arial" w:cs="Arial"/>
          <w:sz w:val="20"/>
          <w:szCs w:val="20"/>
        </w:rPr>
        <w:t xml:space="preserve">The </w:t>
      </w:r>
      <w:r w:rsidR="00EB696F" w:rsidRPr="00EB696F">
        <w:rPr>
          <w:rFonts w:ascii="Arial" w:hAnsi="Arial" w:cs="Arial"/>
          <w:sz w:val="20"/>
          <w:szCs w:val="20"/>
        </w:rPr>
        <w:t>board</w:t>
      </w:r>
      <w:r w:rsidRPr="00EB696F">
        <w:rPr>
          <w:rFonts w:ascii="Arial" w:hAnsi="Arial" w:cs="Arial"/>
          <w:sz w:val="20"/>
          <w:szCs w:val="20"/>
        </w:rPr>
        <w:t xml:space="preserve"> has </w:t>
      </w:r>
      <w:r w:rsidR="00EB696F" w:rsidRPr="00EB696F">
        <w:rPr>
          <w:rFonts w:ascii="Arial" w:hAnsi="Arial" w:cs="Arial"/>
          <w:sz w:val="20"/>
          <w:szCs w:val="20"/>
        </w:rPr>
        <w:t>51</w:t>
      </w:r>
      <w:r w:rsidRPr="00EB696F">
        <w:rPr>
          <w:rFonts w:ascii="Arial" w:hAnsi="Arial" w:cs="Arial"/>
          <w:sz w:val="20"/>
          <w:szCs w:val="20"/>
        </w:rPr>
        <w:t xml:space="preserve"> employees</w:t>
      </w:r>
      <w:r w:rsidR="00EB696F">
        <w:rPr>
          <w:rFonts w:ascii="Arial" w:hAnsi="Arial" w:cs="Arial"/>
          <w:sz w:val="20"/>
          <w:szCs w:val="20"/>
        </w:rPr>
        <w:t>.</w:t>
      </w:r>
      <w:r w:rsidR="0002104C" w:rsidRPr="00EB696F">
        <w:rPr>
          <w:rFonts w:ascii="Arial" w:hAnsi="Arial" w:cs="Arial"/>
          <w:sz w:val="20"/>
          <w:szCs w:val="20"/>
        </w:rPr>
        <w:t xml:space="preserve"> </w:t>
      </w:r>
      <w:r w:rsidR="00EB696F" w:rsidRPr="00EB696F">
        <w:rPr>
          <w:rFonts w:ascii="Arial" w:hAnsi="Arial" w:cs="Arial"/>
          <w:sz w:val="20"/>
          <w:szCs w:val="20"/>
        </w:rPr>
        <w:t>The Board currently contracts with Theresa Stevenson, CPA, LLC, for accounting and consulting services. The Board also contracts with the LA Attorney General’s office for hearing representation as well as Landreneau and Associates, LLC,</w:t>
      </w:r>
      <w:r w:rsidR="00EB696F">
        <w:rPr>
          <w:rFonts w:ascii="Arial" w:hAnsi="Arial" w:cs="Arial"/>
          <w:sz w:val="20"/>
          <w:szCs w:val="20"/>
        </w:rPr>
        <w:t xml:space="preserve"> and Taylor, Porter, Brooks &amp; Phillips, </w:t>
      </w:r>
      <w:r w:rsidR="00EB696F" w:rsidRPr="006F7926">
        <w:rPr>
          <w:rFonts w:ascii="Arial" w:hAnsi="Arial" w:cs="Arial"/>
          <w:sz w:val="20"/>
          <w:szCs w:val="20"/>
        </w:rPr>
        <w:t>LLP, for legal counsel.</w:t>
      </w:r>
    </w:p>
    <w:p w14:paraId="6258116C" w14:textId="4245B7F3" w:rsidR="002E4E97" w:rsidRPr="006F7926" w:rsidRDefault="002E4E97" w:rsidP="00D61237">
      <w:pPr>
        <w:pStyle w:val="Bullet"/>
        <w:tabs>
          <w:tab w:val="clear" w:pos="720"/>
          <w:tab w:val="num" w:pos="360"/>
        </w:tabs>
        <w:ind w:left="360" w:hanging="360"/>
        <w:rPr>
          <w:rFonts w:ascii="Arial" w:hAnsi="Arial" w:cs="Arial"/>
          <w:sz w:val="20"/>
          <w:szCs w:val="20"/>
        </w:rPr>
      </w:pPr>
      <w:bookmarkStart w:id="1" w:name="_Hlk193097848"/>
      <w:r w:rsidRPr="006F7926">
        <w:rPr>
          <w:rFonts w:ascii="Arial" w:hAnsi="Arial" w:cs="Arial"/>
          <w:sz w:val="20"/>
          <w:szCs w:val="20"/>
        </w:rPr>
        <w:t xml:space="preserve">The board has </w:t>
      </w:r>
      <w:r w:rsidR="00EB696F" w:rsidRPr="006F7926">
        <w:rPr>
          <w:rFonts w:ascii="Arial" w:hAnsi="Arial" w:cs="Arial"/>
          <w:sz w:val="20"/>
          <w:szCs w:val="20"/>
        </w:rPr>
        <w:t>5</w:t>
      </w:r>
      <w:r w:rsidRPr="006F7926">
        <w:rPr>
          <w:rFonts w:ascii="Arial" w:hAnsi="Arial" w:cs="Arial"/>
          <w:sz w:val="20"/>
          <w:szCs w:val="20"/>
        </w:rPr>
        <w:t xml:space="preserve"> bank accounts</w:t>
      </w:r>
      <w:r w:rsidR="00881F95" w:rsidRPr="006F7926">
        <w:rPr>
          <w:rFonts w:ascii="Arial" w:hAnsi="Arial" w:cs="Arial"/>
          <w:sz w:val="20"/>
          <w:szCs w:val="20"/>
        </w:rPr>
        <w:t>, but only write checks from 1</w:t>
      </w:r>
      <w:r w:rsidR="007E1AEF" w:rsidRPr="006F7926">
        <w:rPr>
          <w:rFonts w:ascii="Arial" w:hAnsi="Arial" w:cs="Arial"/>
          <w:i/>
          <w:sz w:val="20"/>
          <w:szCs w:val="20"/>
        </w:rPr>
        <w:t xml:space="preserve">. </w:t>
      </w:r>
      <w:r w:rsidRPr="006F7926">
        <w:rPr>
          <w:rFonts w:ascii="Arial" w:hAnsi="Arial" w:cs="Arial"/>
          <w:sz w:val="20"/>
          <w:szCs w:val="20"/>
        </w:rPr>
        <w:t xml:space="preserve">Approximately </w:t>
      </w:r>
      <w:r w:rsidR="00881F95" w:rsidRPr="006F7926">
        <w:rPr>
          <w:rFonts w:ascii="Arial" w:hAnsi="Arial" w:cs="Arial"/>
          <w:sz w:val="20"/>
          <w:szCs w:val="20"/>
        </w:rPr>
        <w:t xml:space="preserve">120 </w:t>
      </w:r>
      <w:r w:rsidRPr="006F7926">
        <w:rPr>
          <w:rFonts w:ascii="Arial" w:hAnsi="Arial" w:cs="Arial"/>
          <w:sz w:val="20"/>
          <w:szCs w:val="20"/>
        </w:rPr>
        <w:t>checks are written each month</w:t>
      </w:r>
      <w:r w:rsidR="00D61237" w:rsidRPr="006F7926">
        <w:rPr>
          <w:rFonts w:ascii="Arial" w:hAnsi="Arial" w:cs="Arial"/>
          <w:sz w:val="20"/>
          <w:szCs w:val="20"/>
        </w:rPr>
        <w:t xml:space="preserve"> </w:t>
      </w:r>
      <w:r w:rsidR="00881F95" w:rsidRPr="006F7926">
        <w:rPr>
          <w:rFonts w:ascii="Arial" w:hAnsi="Arial" w:cs="Arial"/>
          <w:sz w:val="20"/>
          <w:szCs w:val="20"/>
        </w:rPr>
        <w:t>All checks are reviewed and signed by the Executive Director. Bank statement reconciliations are performed and approved by the Deputy Director of Administration on a monthly basis.</w:t>
      </w:r>
    </w:p>
    <w:bookmarkEnd w:id="1"/>
    <w:p w14:paraId="67A14F9F" w14:textId="70020073" w:rsidR="002E4E97" w:rsidRPr="00142179" w:rsidRDefault="00D61237" w:rsidP="002E4E97">
      <w:pPr>
        <w:pStyle w:val="Bullet"/>
        <w:tabs>
          <w:tab w:val="clear" w:pos="720"/>
          <w:tab w:val="num" w:pos="360"/>
        </w:tabs>
        <w:ind w:left="360" w:hanging="360"/>
        <w:rPr>
          <w:rFonts w:ascii="Arial" w:hAnsi="Arial" w:cs="Arial"/>
          <w:sz w:val="20"/>
          <w:szCs w:val="20"/>
        </w:rPr>
      </w:pPr>
      <w:r w:rsidRPr="00142179">
        <w:rPr>
          <w:rFonts w:ascii="Arial" w:hAnsi="Arial" w:cs="Arial"/>
          <w:sz w:val="20"/>
          <w:szCs w:val="20"/>
        </w:rPr>
        <w:t xml:space="preserve">The Board participates in the Louisiana Employees’ Retirement System </w:t>
      </w:r>
      <w:r w:rsidR="00142179" w:rsidRPr="00142179">
        <w:rPr>
          <w:rFonts w:ascii="Arial" w:hAnsi="Arial" w:cs="Arial"/>
          <w:sz w:val="20"/>
          <w:szCs w:val="20"/>
        </w:rPr>
        <w:t>pension plan and the other postemployment benefits plan administered by the Office of Group Benefits</w:t>
      </w:r>
      <w:r w:rsidR="002E4E97" w:rsidRPr="00142179">
        <w:rPr>
          <w:rFonts w:ascii="Arial" w:hAnsi="Arial" w:cs="Arial"/>
          <w:sz w:val="20"/>
          <w:szCs w:val="20"/>
        </w:rPr>
        <w:t>.</w:t>
      </w:r>
    </w:p>
    <w:p w14:paraId="534C1582" w14:textId="43896591" w:rsidR="002E4E97" w:rsidRPr="00142179" w:rsidRDefault="002E4E97" w:rsidP="002E4E97">
      <w:pPr>
        <w:pStyle w:val="Bullet"/>
        <w:numPr>
          <w:ilvl w:val="0"/>
          <w:numId w:val="32"/>
        </w:numPr>
        <w:tabs>
          <w:tab w:val="clear" w:pos="720"/>
          <w:tab w:val="num" w:pos="360"/>
        </w:tabs>
        <w:ind w:left="360" w:hanging="360"/>
        <w:rPr>
          <w:rFonts w:ascii="Arial" w:hAnsi="Arial" w:cs="Arial"/>
          <w:sz w:val="20"/>
          <w:szCs w:val="20"/>
        </w:rPr>
      </w:pPr>
      <w:r w:rsidRPr="00142179">
        <w:rPr>
          <w:rFonts w:ascii="Arial" w:hAnsi="Arial" w:cs="Arial"/>
          <w:sz w:val="20"/>
          <w:szCs w:val="20"/>
        </w:rPr>
        <w:t xml:space="preserve">Operations of the </w:t>
      </w:r>
      <w:r w:rsidR="00142179" w:rsidRPr="00142179">
        <w:rPr>
          <w:rFonts w:ascii="Arial" w:hAnsi="Arial" w:cs="Arial"/>
          <w:sz w:val="20"/>
          <w:szCs w:val="20"/>
        </w:rPr>
        <w:t>board</w:t>
      </w:r>
      <w:r w:rsidRPr="00142179">
        <w:rPr>
          <w:rFonts w:ascii="Arial" w:hAnsi="Arial" w:cs="Arial"/>
          <w:sz w:val="20"/>
          <w:szCs w:val="20"/>
        </w:rPr>
        <w:t xml:space="preserve"> are primarily funded by </w:t>
      </w:r>
      <w:r w:rsidR="00142179" w:rsidRPr="00142179">
        <w:rPr>
          <w:rFonts w:ascii="Arial" w:hAnsi="Arial" w:cs="Arial"/>
          <w:sz w:val="20"/>
          <w:szCs w:val="20"/>
        </w:rPr>
        <w:t>license and examination fees</w:t>
      </w:r>
      <w:r w:rsidRPr="00142179">
        <w:rPr>
          <w:rFonts w:ascii="Arial" w:hAnsi="Arial" w:cs="Arial"/>
          <w:sz w:val="20"/>
          <w:szCs w:val="20"/>
        </w:rPr>
        <w:t>.</w:t>
      </w:r>
      <w:r w:rsidR="00142179" w:rsidRPr="00142179">
        <w:rPr>
          <w:rFonts w:ascii="Arial" w:hAnsi="Arial" w:cs="Arial"/>
          <w:sz w:val="20"/>
          <w:szCs w:val="20"/>
        </w:rPr>
        <w:t xml:space="preserve"> </w:t>
      </w:r>
      <w:r w:rsidRPr="00142179">
        <w:rPr>
          <w:rFonts w:ascii="Arial" w:hAnsi="Arial" w:cs="Arial"/>
          <w:sz w:val="20"/>
          <w:szCs w:val="20"/>
        </w:rPr>
        <w:t>The following activity/balances were reported as of and for the year ended December 31, 202</w:t>
      </w:r>
      <w:r w:rsidR="00FC0D19">
        <w:rPr>
          <w:rFonts w:ascii="Arial" w:hAnsi="Arial" w:cs="Arial"/>
          <w:sz w:val="20"/>
          <w:szCs w:val="20"/>
        </w:rPr>
        <w:t>4</w:t>
      </w:r>
      <w:r w:rsidRPr="00142179">
        <w:rPr>
          <w:rFonts w:ascii="Arial" w:hAnsi="Arial" w:cs="Arial"/>
          <w:sz w:val="20"/>
          <w:szCs w:val="20"/>
        </w:rPr>
        <w:t>:</w:t>
      </w:r>
    </w:p>
    <w:p w14:paraId="28E1F71E" w14:textId="77777777" w:rsidR="002E4E97" w:rsidRPr="00142179" w:rsidRDefault="002E4E97" w:rsidP="002E4E97">
      <w:pPr>
        <w:tabs>
          <w:tab w:val="right" w:pos="6480"/>
          <w:tab w:val="right" w:pos="8820"/>
        </w:tabs>
        <w:ind w:left="1440"/>
        <w:rPr>
          <w:rFonts w:ascii="Arial" w:hAnsi="Arial" w:cs="Arial"/>
          <w:sz w:val="20"/>
          <w:u w:val="single"/>
        </w:rPr>
      </w:pPr>
      <w:r w:rsidRPr="00142179">
        <w:rPr>
          <w:rFonts w:ascii="Arial" w:hAnsi="Arial" w:cs="Arial"/>
          <w:sz w:val="20"/>
        </w:rPr>
        <w:t xml:space="preserve"> </w:t>
      </w:r>
      <w:r w:rsidRPr="00142179">
        <w:rPr>
          <w:rFonts w:ascii="Arial" w:hAnsi="Arial" w:cs="Arial"/>
          <w:sz w:val="20"/>
          <w:u w:val="single"/>
        </w:rPr>
        <w:t>Statement of Net Position / Statement of Activities:</w:t>
      </w:r>
    </w:p>
    <w:p w14:paraId="7FD1FA09" w14:textId="77777777" w:rsidR="002E4E97" w:rsidRPr="00142179" w:rsidRDefault="002E4E97" w:rsidP="002E4E97">
      <w:pPr>
        <w:tabs>
          <w:tab w:val="right" w:pos="6480"/>
          <w:tab w:val="right" w:pos="8820"/>
        </w:tabs>
        <w:ind w:left="1440"/>
        <w:rPr>
          <w:rFonts w:ascii="Arial" w:hAnsi="Arial" w:cs="Arial"/>
          <w:sz w:val="20"/>
        </w:rPr>
      </w:pPr>
    </w:p>
    <w:p w14:paraId="357217B1" w14:textId="5BB816E7" w:rsidR="002E4E97" w:rsidRPr="00142179" w:rsidRDefault="002E4E97" w:rsidP="002E4E97">
      <w:pPr>
        <w:tabs>
          <w:tab w:val="right" w:pos="6480"/>
          <w:tab w:val="right" w:pos="8820"/>
        </w:tabs>
        <w:ind w:left="1440"/>
        <w:rPr>
          <w:rFonts w:ascii="Arial" w:hAnsi="Arial" w:cs="Arial"/>
          <w:sz w:val="20"/>
        </w:rPr>
      </w:pPr>
      <w:r w:rsidRPr="00142179">
        <w:rPr>
          <w:rFonts w:ascii="Arial" w:hAnsi="Arial" w:cs="Arial"/>
          <w:sz w:val="20"/>
        </w:rPr>
        <w:t>Total Assets</w:t>
      </w:r>
      <w:r w:rsidRPr="00142179">
        <w:rPr>
          <w:rFonts w:ascii="Arial" w:hAnsi="Arial" w:cs="Arial"/>
          <w:sz w:val="20"/>
        </w:rPr>
        <w:tab/>
        <w:t>$</w:t>
      </w:r>
      <w:r w:rsidR="00F00652">
        <w:rPr>
          <w:rFonts w:ascii="Arial" w:hAnsi="Arial" w:cs="Arial"/>
          <w:sz w:val="20"/>
        </w:rPr>
        <w:t>20,438,670</w:t>
      </w:r>
    </w:p>
    <w:p w14:paraId="2F43D8D3" w14:textId="21EDE368" w:rsidR="00142179" w:rsidRPr="00142179" w:rsidRDefault="00142179" w:rsidP="002E4E97">
      <w:pPr>
        <w:tabs>
          <w:tab w:val="right" w:pos="6480"/>
          <w:tab w:val="right" w:pos="8820"/>
        </w:tabs>
        <w:ind w:left="1440"/>
        <w:rPr>
          <w:rFonts w:ascii="Arial" w:hAnsi="Arial" w:cs="Arial"/>
          <w:sz w:val="20"/>
        </w:rPr>
      </w:pPr>
      <w:r w:rsidRPr="00142179">
        <w:rPr>
          <w:rFonts w:ascii="Arial" w:hAnsi="Arial" w:cs="Arial"/>
          <w:sz w:val="20"/>
        </w:rPr>
        <w:t>Total Deferred Outflows</w:t>
      </w:r>
      <w:r w:rsidRPr="00142179">
        <w:rPr>
          <w:rFonts w:ascii="Arial" w:hAnsi="Arial" w:cs="Arial"/>
          <w:sz w:val="20"/>
        </w:rPr>
        <w:tab/>
        <w:t>$1,7</w:t>
      </w:r>
      <w:r w:rsidR="00F00652">
        <w:rPr>
          <w:rFonts w:ascii="Arial" w:hAnsi="Arial" w:cs="Arial"/>
          <w:sz w:val="20"/>
        </w:rPr>
        <w:t>85,746</w:t>
      </w:r>
    </w:p>
    <w:p w14:paraId="7503B4D8" w14:textId="76D26348" w:rsidR="002E4E97" w:rsidRPr="00142179" w:rsidRDefault="002E4E97" w:rsidP="002E4E97">
      <w:pPr>
        <w:tabs>
          <w:tab w:val="right" w:pos="6480"/>
          <w:tab w:val="right" w:pos="8820"/>
        </w:tabs>
        <w:ind w:left="1440"/>
        <w:rPr>
          <w:rFonts w:ascii="Arial" w:hAnsi="Arial" w:cs="Arial"/>
          <w:sz w:val="20"/>
        </w:rPr>
      </w:pPr>
      <w:r w:rsidRPr="00142179">
        <w:rPr>
          <w:rFonts w:ascii="Arial" w:hAnsi="Arial" w:cs="Arial"/>
          <w:sz w:val="20"/>
        </w:rPr>
        <w:t>Total Liabilities</w:t>
      </w:r>
      <w:r w:rsidRPr="00142179">
        <w:rPr>
          <w:rFonts w:ascii="Arial" w:hAnsi="Arial" w:cs="Arial"/>
          <w:sz w:val="20"/>
        </w:rPr>
        <w:tab/>
        <w:t>$</w:t>
      </w:r>
      <w:r w:rsidR="00142179" w:rsidRPr="00142179">
        <w:rPr>
          <w:rFonts w:ascii="Arial" w:hAnsi="Arial" w:cs="Arial"/>
          <w:sz w:val="20"/>
        </w:rPr>
        <w:t>20,</w:t>
      </w:r>
      <w:r w:rsidR="00F00652">
        <w:rPr>
          <w:rFonts w:ascii="Arial" w:hAnsi="Arial" w:cs="Arial"/>
          <w:sz w:val="20"/>
        </w:rPr>
        <w:t>349669</w:t>
      </w:r>
    </w:p>
    <w:p w14:paraId="2F79FAC4" w14:textId="420A9886" w:rsidR="00142179" w:rsidRPr="00142179" w:rsidRDefault="00142179" w:rsidP="002E4E97">
      <w:pPr>
        <w:tabs>
          <w:tab w:val="right" w:pos="6480"/>
          <w:tab w:val="right" w:pos="8820"/>
        </w:tabs>
        <w:ind w:left="1440"/>
        <w:rPr>
          <w:rFonts w:ascii="Arial" w:hAnsi="Arial" w:cs="Arial"/>
          <w:sz w:val="20"/>
        </w:rPr>
      </w:pPr>
      <w:r w:rsidRPr="00142179">
        <w:rPr>
          <w:rFonts w:ascii="Arial" w:hAnsi="Arial" w:cs="Arial"/>
          <w:sz w:val="20"/>
        </w:rPr>
        <w:t>Total Deferred Inflows</w:t>
      </w:r>
      <w:r w:rsidRPr="00142179">
        <w:rPr>
          <w:rFonts w:ascii="Arial" w:hAnsi="Arial" w:cs="Arial"/>
          <w:sz w:val="20"/>
        </w:rPr>
        <w:tab/>
        <w:t>$1,</w:t>
      </w:r>
      <w:r w:rsidR="00F00652">
        <w:rPr>
          <w:rFonts w:ascii="Arial" w:hAnsi="Arial" w:cs="Arial"/>
          <w:sz w:val="20"/>
        </w:rPr>
        <w:t>871,602</w:t>
      </w:r>
    </w:p>
    <w:p w14:paraId="2A3DB09D" w14:textId="4526D8B9" w:rsidR="002E4E97" w:rsidRPr="00142179" w:rsidRDefault="002E4E97" w:rsidP="002E4E97">
      <w:pPr>
        <w:tabs>
          <w:tab w:val="right" w:pos="6480"/>
          <w:tab w:val="right" w:pos="8820"/>
        </w:tabs>
        <w:ind w:left="1440"/>
        <w:rPr>
          <w:rFonts w:ascii="Arial" w:hAnsi="Arial" w:cs="Arial"/>
          <w:sz w:val="20"/>
        </w:rPr>
      </w:pPr>
      <w:r w:rsidRPr="00142179">
        <w:rPr>
          <w:rFonts w:ascii="Arial" w:hAnsi="Arial" w:cs="Arial"/>
          <w:sz w:val="20"/>
        </w:rPr>
        <w:t>Net Position</w:t>
      </w:r>
      <w:r w:rsidRPr="00142179">
        <w:rPr>
          <w:rFonts w:ascii="Arial" w:hAnsi="Arial" w:cs="Arial"/>
          <w:sz w:val="20"/>
        </w:rPr>
        <w:tab/>
        <w:t>$</w:t>
      </w:r>
      <w:r w:rsidR="00F00652">
        <w:rPr>
          <w:rFonts w:ascii="Arial" w:hAnsi="Arial" w:cs="Arial"/>
          <w:sz w:val="20"/>
        </w:rPr>
        <w:t>3,145</w:t>
      </w:r>
    </w:p>
    <w:p w14:paraId="1BAD517A" w14:textId="41CE4F61" w:rsidR="002E4E97" w:rsidRPr="00142179" w:rsidRDefault="002E4E97" w:rsidP="002E4E97">
      <w:pPr>
        <w:tabs>
          <w:tab w:val="right" w:pos="6480"/>
          <w:tab w:val="right" w:pos="8820"/>
        </w:tabs>
        <w:ind w:left="1440"/>
        <w:rPr>
          <w:rFonts w:ascii="Arial" w:hAnsi="Arial" w:cs="Arial"/>
          <w:sz w:val="20"/>
        </w:rPr>
      </w:pPr>
      <w:r w:rsidRPr="00142179">
        <w:rPr>
          <w:rFonts w:ascii="Arial" w:hAnsi="Arial" w:cs="Arial"/>
          <w:sz w:val="20"/>
        </w:rPr>
        <w:lastRenderedPageBreak/>
        <w:t>Revenues</w:t>
      </w:r>
      <w:r w:rsidRPr="00142179">
        <w:rPr>
          <w:rFonts w:ascii="Arial" w:hAnsi="Arial" w:cs="Arial"/>
          <w:sz w:val="20"/>
        </w:rPr>
        <w:tab/>
        <w:t>$</w:t>
      </w:r>
      <w:r w:rsidR="00142179" w:rsidRPr="00142179">
        <w:rPr>
          <w:rFonts w:ascii="Arial" w:hAnsi="Arial" w:cs="Arial"/>
          <w:sz w:val="20"/>
        </w:rPr>
        <w:t>7,</w:t>
      </w:r>
      <w:r w:rsidR="00F00652">
        <w:rPr>
          <w:rFonts w:ascii="Arial" w:hAnsi="Arial" w:cs="Arial"/>
          <w:sz w:val="20"/>
        </w:rPr>
        <w:t>822,037</w:t>
      </w:r>
    </w:p>
    <w:p w14:paraId="631B7203" w14:textId="7D45E253" w:rsidR="002E4E97" w:rsidRPr="00142179" w:rsidRDefault="002E4E97" w:rsidP="002E4E97">
      <w:pPr>
        <w:tabs>
          <w:tab w:val="right" w:pos="6480"/>
          <w:tab w:val="right" w:pos="8820"/>
        </w:tabs>
        <w:ind w:left="1440"/>
        <w:rPr>
          <w:rFonts w:ascii="Arial" w:hAnsi="Arial" w:cs="Arial"/>
          <w:sz w:val="20"/>
        </w:rPr>
      </w:pPr>
      <w:r w:rsidRPr="00142179">
        <w:rPr>
          <w:rFonts w:ascii="Arial" w:hAnsi="Arial" w:cs="Arial"/>
          <w:sz w:val="20"/>
        </w:rPr>
        <w:t>Expenses</w:t>
      </w:r>
      <w:r w:rsidRPr="00142179">
        <w:rPr>
          <w:rFonts w:ascii="Arial" w:hAnsi="Arial" w:cs="Arial"/>
          <w:sz w:val="20"/>
        </w:rPr>
        <w:tab/>
        <w:t>$</w:t>
      </w:r>
      <w:r w:rsidR="00F00652">
        <w:rPr>
          <w:rFonts w:ascii="Arial" w:hAnsi="Arial" w:cs="Arial"/>
          <w:sz w:val="20"/>
        </w:rPr>
        <w:t>8,424,081</w:t>
      </w:r>
    </w:p>
    <w:p w14:paraId="2EF1BBE0" w14:textId="77777777" w:rsidR="002E4E97" w:rsidRPr="002E4E97" w:rsidRDefault="002E4E97" w:rsidP="002E4E97">
      <w:pPr>
        <w:spacing w:after="120"/>
        <w:rPr>
          <w:rFonts w:ascii="Arial" w:hAnsi="Arial" w:cs="Arial"/>
          <w:b/>
          <w:sz w:val="20"/>
          <w:highlight w:val="yellow"/>
        </w:rPr>
      </w:pPr>
    </w:p>
    <w:p w14:paraId="0AC1519A" w14:textId="30CA6D0F" w:rsidR="002E4E97" w:rsidRPr="002E4E97" w:rsidRDefault="002E4E97" w:rsidP="002E4E97">
      <w:pPr>
        <w:spacing w:after="240"/>
        <w:rPr>
          <w:rFonts w:ascii="Arial" w:hAnsi="Arial" w:cs="Arial"/>
          <w:sz w:val="20"/>
          <w:highlight w:val="yellow"/>
        </w:rPr>
      </w:pPr>
      <w:r w:rsidRPr="00142179">
        <w:rPr>
          <w:rFonts w:ascii="Arial" w:hAnsi="Arial" w:cs="Arial"/>
          <w:b/>
          <w:sz w:val="20"/>
        </w:rPr>
        <w:t>Accounting System:</w:t>
      </w:r>
      <w:r w:rsidRPr="00142179">
        <w:rPr>
          <w:rFonts w:ascii="Arial" w:hAnsi="Arial" w:cs="Arial"/>
          <w:sz w:val="20"/>
        </w:rPr>
        <w:t xml:space="preserve">  </w:t>
      </w:r>
      <w:r w:rsidR="00881F95" w:rsidRPr="00881F95">
        <w:rPr>
          <w:rFonts w:ascii="Arial" w:hAnsi="Arial" w:cs="Arial"/>
          <w:iCs/>
          <w:sz w:val="20"/>
        </w:rPr>
        <w:t>Solomon SL – MS Dynamics</w:t>
      </w:r>
    </w:p>
    <w:p w14:paraId="35643087" w14:textId="4D795039" w:rsidR="002E4E97" w:rsidRPr="002E4E97" w:rsidRDefault="002E4E97" w:rsidP="002E4E97">
      <w:pPr>
        <w:spacing w:after="240"/>
        <w:rPr>
          <w:rFonts w:ascii="Arial" w:hAnsi="Arial" w:cs="Arial"/>
          <w:sz w:val="20"/>
          <w:highlight w:val="yellow"/>
        </w:rPr>
      </w:pPr>
      <w:r w:rsidRPr="00142179">
        <w:rPr>
          <w:rFonts w:ascii="Arial" w:hAnsi="Arial" w:cs="Arial"/>
          <w:b/>
          <w:sz w:val="20"/>
        </w:rPr>
        <w:t>Financial Statements:</w:t>
      </w:r>
      <w:r w:rsidRPr="00142179">
        <w:rPr>
          <w:rFonts w:ascii="Arial" w:hAnsi="Arial" w:cs="Arial"/>
          <w:sz w:val="20"/>
        </w:rPr>
        <w:t xml:space="preserve">  The board will provide a trial balance.</w:t>
      </w:r>
      <w:r w:rsidR="00142179" w:rsidRPr="00142179">
        <w:rPr>
          <w:rFonts w:ascii="Arial" w:hAnsi="Arial" w:cs="Arial"/>
          <w:sz w:val="20"/>
        </w:rPr>
        <w:t xml:space="preserve"> </w:t>
      </w:r>
    </w:p>
    <w:p w14:paraId="5FA66BA1" w14:textId="77777777" w:rsidR="002E4E97" w:rsidRPr="00142179" w:rsidRDefault="002E4E97" w:rsidP="002E4E97">
      <w:pPr>
        <w:spacing w:after="240"/>
        <w:rPr>
          <w:rFonts w:ascii="Arial" w:hAnsi="Arial" w:cs="Arial"/>
          <w:sz w:val="20"/>
        </w:rPr>
      </w:pPr>
      <w:r w:rsidRPr="00142179">
        <w:rPr>
          <w:rFonts w:ascii="Arial" w:hAnsi="Arial" w:cs="Arial"/>
          <w:b/>
          <w:sz w:val="20"/>
        </w:rPr>
        <w:t>Estimated Start of Fieldwork:</w:t>
      </w:r>
      <w:r w:rsidRPr="00142179">
        <w:rPr>
          <w:rFonts w:ascii="Arial" w:hAnsi="Arial" w:cs="Arial"/>
          <w:sz w:val="20"/>
        </w:rPr>
        <w:t xml:space="preserve">  No later than March 15 following each period</w:t>
      </w:r>
    </w:p>
    <w:p w14:paraId="0E7BEF5C" w14:textId="77777777" w:rsidR="002E4E97" w:rsidRPr="00142179" w:rsidRDefault="002E4E97" w:rsidP="002E4E97">
      <w:pPr>
        <w:spacing w:after="240"/>
        <w:rPr>
          <w:rFonts w:ascii="Arial" w:hAnsi="Arial" w:cs="Arial"/>
          <w:sz w:val="20"/>
        </w:rPr>
      </w:pPr>
      <w:r w:rsidRPr="00142179">
        <w:rPr>
          <w:rFonts w:ascii="Arial" w:hAnsi="Arial" w:cs="Arial"/>
          <w:b/>
          <w:sz w:val="20"/>
        </w:rPr>
        <w:t>Engagement Completion Date:</w:t>
      </w:r>
      <w:r w:rsidRPr="00142179">
        <w:rPr>
          <w:rFonts w:ascii="Arial" w:hAnsi="Arial" w:cs="Arial"/>
          <w:sz w:val="20"/>
        </w:rPr>
        <w:t xml:space="preserve">  No later than June 30 following each period</w:t>
      </w:r>
    </w:p>
    <w:p w14:paraId="439A572A" w14:textId="77777777" w:rsidR="002E4E97" w:rsidRPr="00142179" w:rsidRDefault="002E4E97" w:rsidP="002E4E97">
      <w:pPr>
        <w:spacing w:after="240"/>
        <w:rPr>
          <w:rFonts w:ascii="Arial" w:hAnsi="Arial" w:cs="Arial"/>
          <w:b/>
          <w:sz w:val="20"/>
        </w:rPr>
      </w:pPr>
      <w:r w:rsidRPr="00142179">
        <w:rPr>
          <w:rFonts w:ascii="Arial" w:hAnsi="Arial" w:cs="Arial"/>
          <w:b/>
          <w:sz w:val="20"/>
        </w:rPr>
        <w:t>Special Requirements:</w:t>
      </w:r>
    </w:p>
    <w:p w14:paraId="130ECFAF" w14:textId="005D2754" w:rsidR="002E4E97" w:rsidRPr="00142179" w:rsidRDefault="002E4E97" w:rsidP="002E4E97">
      <w:pPr>
        <w:pStyle w:val="Bullet"/>
        <w:tabs>
          <w:tab w:val="clear" w:pos="720"/>
          <w:tab w:val="num" w:pos="360"/>
        </w:tabs>
        <w:ind w:left="360" w:hanging="360"/>
        <w:rPr>
          <w:rFonts w:ascii="Arial" w:hAnsi="Arial" w:cs="Arial"/>
          <w:sz w:val="20"/>
          <w:szCs w:val="20"/>
        </w:rPr>
      </w:pPr>
      <w:r w:rsidRPr="00142179">
        <w:rPr>
          <w:rFonts w:ascii="Arial" w:hAnsi="Arial" w:cs="Arial"/>
          <w:sz w:val="20"/>
          <w:szCs w:val="20"/>
        </w:rPr>
        <w:t>The successful ICPA will assist the board in preparing the financial statements in accordance with GAAP, to include appropriate note disclosures.</w:t>
      </w:r>
      <w:r w:rsidR="00142179" w:rsidRPr="00142179">
        <w:rPr>
          <w:rFonts w:ascii="Arial" w:hAnsi="Arial" w:cs="Arial"/>
          <w:sz w:val="20"/>
          <w:szCs w:val="20"/>
        </w:rPr>
        <w:t xml:space="preserve"> </w:t>
      </w:r>
    </w:p>
    <w:p w14:paraId="1918DEC3" w14:textId="45198DAE" w:rsidR="002E4E97" w:rsidRPr="00DC08FC" w:rsidRDefault="002E4E97" w:rsidP="002E4E97">
      <w:pPr>
        <w:spacing w:after="240"/>
        <w:rPr>
          <w:rFonts w:ascii="Arial" w:hAnsi="Arial" w:cs="Arial"/>
          <w:b/>
          <w:sz w:val="20"/>
        </w:rPr>
      </w:pPr>
      <w:r w:rsidRPr="00DC08FC">
        <w:rPr>
          <w:rFonts w:ascii="Arial" w:hAnsi="Arial" w:cs="Arial"/>
          <w:b/>
          <w:sz w:val="20"/>
        </w:rPr>
        <w:t>State Agency Assistance:</w:t>
      </w:r>
      <w:r w:rsidRPr="00DC08FC">
        <w:rPr>
          <w:rFonts w:ascii="Arial" w:hAnsi="Arial" w:cs="Arial"/>
          <w:sz w:val="20"/>
        </w:rPr>
        <w:t xml:space="preserve">  The board will provide supporting schedules as required.</w:t>
      </w:r>
      <w:r w:rsidR="00142179" w:rsidRPr="00DC08FC">
        <w:rPr>
          <w:rFonts w:ascii="Arial" w:hAnsi="Arial" w:cs="Arial"/>
          <w:sz w:val="20"/>
        </w:rPr>
        <w:t xml:space="preserve"> </w:t>
      </w:r>
    </w:p>
    <w:p w14:paraId="6A26AE43" w14:textId="74D598B0" w:rsidR="002E4E97" w:rsidRPr="00DC08FC" w:rsidRDefault="002E4E97" w:rsidP="002E4E97">
      <w:pPr>
        <w:spacing w:after="240"/>
        <w:rPr>
          <w:rFonts w:ascii="Arial" w:hAnsi="Arial" w:cs="Arial"/>
          <w:sz w:val="20"/>
        </w:rPr>
      </w:pPr>
      <w:r w:rsidRPr="00DC08FC">
        <w:rPr>
          <w:rFonts w:ascii="Arial" w:hAnsi="Arial" w:cs="Arial"/>
          <w:b/>
          <w:sz w:val="20"/>
        </w:rPr>
        <w:t>Last Engagement:</w:t>
      </w:r>
      <w:r w:rsidRPr="00DC08FC">
        <w:rPr>
          <w:rFonts w:ascii="Arial" w:hAnsi="Arial" w:cs="Arial"/>
          <w:sz w:val="20"/>
        </w:rPr>
        <w:t xml:space="preserve">  Audit as of and for the period ended December 31, 202</w:t>
      </w:r>
      <w:r w:rsidR="00FC0D19">
        <w:rPr>
          <w:rFonts w:ascii="Arial" w:hAnsi="Arial" w:cs="Arial"/>
          <w:sz w:val="20"/>
        </w:rPr>
        <w:t>4</w:t>
      </w:r>
      <w:r w:rsidRPr="00DC08FC">
        <w:rPr>
          <w:rFonts w:ascii="Arial" w:hAnsi="Arial" w:cs="Arial"/>
          <w:sz w:val="20"/>
        </w:rPr>
        <w:t>.</w:t>
      </w:r>
    </w:p>
    <w:p w14:paraId="68F82EDB" w14:textId="77777777" w:rsidR="002E4E97" w:rsidRPr="00DC08FC" w:rsidRDefault="002E4E97" w:rsidP="002E4E97">
      <w:pPr>
        <w:spacing w:after="240"/>
        <w:rPr>
          <w:rFonts w:ascii="Arial" w:hAnsi="Arial" w:cs="Arial"/>
          <w:sz w:val="20"/>
        </w:rPr>
      </w:pPr>
      <w:r w:rsidRPr="00DC08FC">
        <w:rPr>
          <w:rFonts w:ascii="Arial" w:hAnsi="Arial" w:cs="Arial"/>
          <w:b/>
          <w:sz w:val="20"/>
        </w:rPr>
        <w:t>Results of Last Engagement:</w:t>
      </w:r>
    </w:p>
    <w:p w14:paraId="142A84B1" w14:textId="77777777" w:rsidR="002E4E97" w:rsidRPr="00DC08FC" w:rsidRDefault="002E4E97" w:rsidP="002E4E97">
      <w:pPr>
        <w:pStyle w:val="Bullet"/>
        <w:tabs>
          <w:tab w:val="clear" w:pos="720"/>
          <w:tab w:val="num" w:pos="360"/>
        </w:tabs>
        <w:ind w:left="360" w:hanging="360"/>
        <w:rPr>
          <w:rFonts w:ascii="Arial" w:hAnsi="Arial" w:cs="Arial"/>
          <w:sz w:val="20"/>
          <w:szCs w:val="20"/>
        </w:rPr>
      </w:pPr>
      <w:r w:rsidRPr="00DC08FC">
        <w:rPr>
          <w:rFonts w:ascii="Arial" w:hAnsi="Arial" w:cs="Arial"/>
          <w:sz w:val="20"/>
          <w:szCs w:val="20"/>
        </w:rPr>
        <w:t>Unmodified opinion</w:t>
      </w:r>
    </w:p>
    <w:p w14:paraId="42519298" w14:textId="1FAF2773" w:rsidR="00F00652" w:rsidRDefault="00F00652" w:rsidP="002E4E97">
      <w:pPr>
        <w:pStyle w:val="Bullet"/>
        <w:tabs>
          <w:tab w:val="clear" w:pos="720"/>
          <w:tab w:val="num" w:pos="360"/>
        </w:tabs>
        <w:ind w:left="360" w:hanging="360"/>
        <w:rPr>
          <w:rFonts w:ascii="Arial" w:hAnsi="Arial" w:cs="Arial"/>
          <w:sz w:val="20"/>
          <w:szCs w:val="20"/>
        </w:rPr>
      </w:pPr>
      <w:r>
        <w:rPr>
          <w:rFonts w:ascii="Arial" w:hAnsi="Arial" w:cs="Arial"/>
          <w:sz w:val="20"/>
          <w:szCs w:val="20"/>
        </w:rPr>
        <w:t>Findings:</w:t>
      </w:r>
    </w:p>
    <w:p w14:paraId="3E313AD1" w14:textId="1D892917" w:rsidR="002E4E97" w:rsidRDefault="00F00652" w:rsidP="00F00652">
      <w:pPr>
        <w:pStyle w:val="Bullet"/>
        <w:numPr>
          <w:ilvl w:val="1"/>
          <w:numId w:val="15"/>
        </w:numPr>
        <w:rPr>
          <w:rFonts w:ascii="Arial" w:hAnsi="Arial" w:cs="Arial"/>
          <w:sz w:val="20"/>
          <w:szCs w:val="20"/>
        </w:rPr>
      </w:pPr>
      <w:r>
        <w:rPr>
          <w:rFonts w:ascii="Arial" w:hAnsi="Arial" w:cs="Arial"/>
          <w:sz w:val="20"/>
          <w:szCs w:val="20"/>
        </w:rPr>
        <w:t>Inadequate Separation of Accounting Duties and Functionality of the Accounting Process</w:t>
      </w:r>
    </w:p>
    <w:p w14:paraId="31FA27AE" w14:textId="7EC7CB65" w:rsidR="00F00652" w:rsidRPr="00DC08FC" w:rsidRDefault="006F7926" w:rsidP="00F00652">
      <w:pPr>
        <w:pStyle w:val="Bullet"/>
        <w:numPr>
          <w:ilvl w:val="1"/>
          <w:numId w:val="15"/>
        </w:numPr>
        <w:rPr>
          <w:rFonts w:ascii="Arial" w:hAnsi="Arial" w:cs="Arial"/>
          <w:sz w:val="20"/>
          <w:szCs w:val="20"/>
        </w:rPr>
      </w:pPr>
      <w:r>
        <w:rPr>
          <w:rFonts w:ascii="Arial" w:hAnsi="Arial" w:cs="Arial"/>
          <w:sz w:val="20"/>
          <w:szCs w:val="20"/>
        </w:rPr>
        <w:t>Lack of Formal Approval for Executive Compensation Adjustment</w:t>
      </w:r>
    </w:p>
    <w:p w14:paraId="77926218" w14:textId="412898C3" w:rsidR="002E4E97" w:rsidRPr="00DC08FC" w:rsidRDefault="002E4E97" w:rsidP="00FC0D19">
      <w:pPr>
        <w:tabs>
          <w:tab w:val="left" w:pos="1728"/>
        </w:tabs>
        <w:rPr>
          <w:rFonts w:ascii="Arial" w:hAnsi="Arial" w:cs="Arial"/>
          <w:sz w:val="20"/>
        </w:rPr>
      </w:pPr>
      <w:r w:rsidRPr="00DC08FC">
        <w:rPr>
          <w:rFonts w:ascii="Arial" w:hAnsi="Arial" w:cs="Arial"/>
          <w:b/>
          <w:sz w:val="20"/>
        </w:rPr>
        <w:t>Prior Auditor:</w:t>
      </w:r>
      <w:r w:rsidRPr="00DC08FC">
        <w:rPr>
          <w:rFonts w:ascii="Arial" w:hAnsi="Arial" w:cs="Arial"/>
          <w:sz w:val="20"/>
        </w:rPr>
        <w:tab/>
      </w:r>
      <w:proofErr w:type="spellStart"/>
      <w:r w:rsidR="00FC0D19">
        <w:rPr>
          <w:rFonts w:ascii="Arial" w:hAnsi="Arial" w:cs="Arial"/>
          <w:sz w:val="20"/>
        </w:rPr>
        <w:t>Ei</w:t>
      </w:r>
      <w:r w:rsidR="00881F95">
        <w:rPr>
          <w:rFonts w:ascii="Arial" w:hAnsi="Arial" w:cs="Arial"/>
          <w:sz w:val="20"/>
        </w:rPr>
        <w:t>s</w:t>
      </w:r>
      <w:r w:rsidR="00FC0D19">
        <w:rPr>
          <w:rFonts w:ascii="Arial" w:hAnsi="Arial" w:cs="Arial"/>
          <w:sz w:val="20"/>
        </w:rPr>
        <w:t>nerAmper</w:t>
      </w:r>
      <w:proofErr w:type="spellEnd"/>
    </w:p>
    <w:p w14:paraId="45CA1BC5" w14:textId="7B10E854" w:rsidR="002E4E97" w:rsidRPr="00DC08FC" w:rsidRDefault="002E4E97" w:rsidP="002E4E97">
      <w:pPr>
        <w:tabs>
          <w:tab w:val="left" w:pos="1728"/>
        </w:tabs>
        <w:rPr>
          <w:rFonts w:ascii="Arial" w:hAnsi="Arial" w:cs="Arial"/>
          <w:sz w:val="20"/>
        </w:rPr>
      </w:pPr>
      <w:r w:rsidRPr="00DC08FC">
        <w:rPr>
          <w:rFonts w:ascii="Arial" w:hAnsi="Arial" w:cs="Arial"/>
          <w:sz w:val="20"/>
        </w:rPr>
        <w:tab/>
      </w:r>
      <w:r w:rsidR="00DC08FC" w:rsidRPr="00DC08FC">
        <w:rPr>
          <w:rFonts w:ascii="Arial" w:hAnsi="Arial" w:cs="Arial"/>
          <w:sz w:val="20"/>
        </w:rPr>
        <w:t>Baton Rouge</w:t>
      </w:r>
      <w:r w:rsidRPr="00DC08FC">
        <w:rPr>
          <w:rFonts w:ascii="Arial" w:hAnsi="Arial" w:cs="Arial"/>
          <w:sz w:val="20"/>
        </w:rPr>
        <w:t xml:space="preserve">, Louisiana </w:t>
      </w:r>
    </w:p>
    <w:p w14:paraId="75982CE7" w14:textId="77777777" w:rsidR="002E4E97" w:rsidRPr="00DC08FC" w:rsidRDefault="002E4E97" w:rsidP="002E4E97">
      <w:pPr>
        <w:tabs>
          <w:tab w:val="left" w:pos="1728"/>
        </w:tabs>
        <w:rPr>
          <w:rFonts w:ascii="Arial" w:hAnsi="Arial" w:cs="Arial"/>
          <w:sz w:val="20"/>
        </w:rPr>
      </w:pPr>
    </w:p>
    <w:p w14:paraId="0EAB7EDF" w14:textId="77777777" w:rsidR="002E4E97" w:rsidRPr="00DC08FC" w:rsidRDefault="002E4E97" w:rsidP="002E4E97">
      <w:pPr>
        <w:spacing w:after="240"/>
        <w:rPr>
          <w:rFonts w:ascii="Arial" w:hAnsi="Arial" w:cs="Arial"/>
          <w:b/>
          <w:sz w:val="20"/>
        </w:rPr>
      </w:pPr>
      <w:r w:rsidRPr="00DC08FC">
        <w:rPr>
          <w:rFonts w:ascii="Arial" w:hAnsi="Arial" w:cs="Arial"/>
          <w:b/>
          <w:sz w:val="20"/>
        </w:rPr>
        <w:t>Proposers’ Conference:</w:t>
      </w:r>
    </w:p>
    <w:p w14:paraId="642EDF51" w14:textId="77777777" w:rsidR="002E4E97" w:rsidRPr="00DC08FC" w:rsidRDefault="002E4E97" w:rsidP="002E4E97">
      <w:pPr>
        <w:pStyle w:val="Bullet"/>
        <w:tabs>
          <w:tab w:val="clear" w:pos="720"/>
          <w:tab w:val="num" w:pos="360"/>
        </w:tabs>
        <w:ind w:left="360" w:hanging="360"/>
        <w:rPr>
          <w:rFonts w:ascii="Arial" w:hAnsi="Arial" w:cs="Arial"/>
          <w:sz w:val="20"/>
          <w:szCs w:val="20"/>
        </w:rPr>
      </w:pPr>
      <w:r w:rsidRPr="00DC08FC">
        <w:rPr>
          <w:rFonts w:ascii="Arial" w:hAnsi="Arial" w:cs="Arial"/>
          <w:sz w:val="20"/>
          <w:szCs w:val="20"/>
        </w:rPr>
        <w:t xml:space="preserve">A proposers’ conference will </w:t>
      </w:r>
      <w:r w:rsidRPr="00DC08FC">
        <w:rPr>
          <w:rFonts w:ascii="Arial" w:hAnsi="Arial" w:cs="Arial"/>
          <w:b/>
          <w:sz w:val="20"/>
          <w:szCs w:val="20"/>
          <w:u w:val="single"/>
        </w:rPr>
        <w:t>not</w:t>
      </w:r>
      <w:r w:rsidRPr="00DC08FC">
        <w:rPr>
          <w:rFonts w:ascii="Arial" w:hAnsi="Arial" w:cs="Arial"/>
          <w:sz w:val="20"/>
          <w:szCs w:val="20"/>
        </w:rPr>
        <w:t xml:space="preserve"> be held.</w:t>
      </w:r>
    </w:p>
    <w:p w14:paraId="753A0A01" w14:textId="77777777" w:rsidR="002E4E97" w:rsidRPr="00DC08FC" w:rsidRDefault="002E4E97" w:rsidP="002E4E97">
      <w:pPr>
        <w:pStyle w:val="Bullet"/>
        <w:tabs>
          <w:tab w:val="clear" w:pos="720"/>
          <w:tab w:val="num" w:pos="360"/>
        </w:tabs>
        <w:ind w:left="360" w:hanging="360"/>
        <w:rPr>
          <w:rFonts w:ascii="Arial" w:hAnsi="Arial" w:cs="Arial"/>
          <w:sz w:val="20"/>
          <w:szCs w:val="20"/>
        </w:rPr>
      </w:pPr>
      <w:r w:rsidRPr="00DC08FC">
        <w:rPr>
          <w:rFonts w:ascii="Arial" w:hAnsi="Arial" w:cs="Arial"/>
          <w:sz w:val="20"/>
          <w:szCs w:val="20"/>
        </w:rPr>
        <w:t xml:space="preserve">Any questions regarding the SFP or state agency should be sent to </w:t>
      </w:r>
      <w:hyperlink r:id="rId8" w:history="1">
        <w:r w:rsidRPr="00DC08FC">
          <w:rPr>
            <w:rStyle w:val="Hyperlink"/>
            <w:rFonts w:ascii="Arial" w:hAnsi="Arial" w:cs="Arial"/>
            <w:sz w:val="20"/>
            <w:szCs w:val="20"/>
          </w:rPr>
          <w:t>StateContracts@lla.la.gov</w:t>
        </w:r>
      </w:hyperlink>
      <w:r w:rsidRPr="00DC08FC">
        <w:rPr>
          <w:rFonts w:ascii="Arial" w:hAnsi="Arial" w:cs="Arial"/>
          <w:sz w:val="20"/>
          <w:szCs w:val="20"/>
        </w:rPr>
        <w:t>.</w:t>
      </w:r>
    </w:p>
    <w:p w14:paraId="4E9EB190" w14:textId="4573CFB7" w:rsidR="002E4E97" w:rsidRPr="002E4E97" w:rsidRDefault="002E4E97" w:rsidP="002E4E97">
      <w:pPr>
        <w:spacing w:before="120" w:after="120"/>
        <w:rPr>
          <w:rFonts w:ascii="Arial" w:hAnsi="Arial" w:cs="Arial"/>
          <w:sz w:val="20"/>
        </w:rPr>
      </w:pPr>
      <w:r w:rsidRPr="00DC08FC">
        <w:rPr>
          <w:rFonts w:ascii="Arial" w:hAnsi="Arial" w:cs="Arial"/>
          <w:b/>
          <w:sz w:val="20"/>
        </w:rPr>
        <w:t>Proposal Due Date and Time:</w:t>
      </w:r>
      <w:r w:rsidRPr="00DC08FC">
        <w:rPr>
          <w:rFonts w:ascii="Arial" w:hAnsi="Arial" w:cs="Arial"/>
          <w:sz w:val="20"/>
        </w:rPr>
        <w:t xml:space="preserve">  </w:t>
      </w:r>
      <w:r w:rsidR="006F7926">
        <w:rPr>
          <w:rFonts w:ascii="Arial" w:hAnsi="Arial" w:cs="Arial"/>
          <w:sz w:val="20"/>
        </w:rPr>
        <w:t>September 29, 2025 by 5:00 p.m.</w:t>
      </w:r>
    </w:p>
    <w:p w14:paraId="3611F877" w14:textId="26CDBB39" w:rsidR="002840D3" w:rsidRPr="002E4E97" w:rsidRDefault="002840D3" w:rsidP="002E4E97">
      <w:pPr>
        <w:spacing w:after="120"/>
        <w:rPr>
          <w:rFonts w:ascii="Arial" w:hAnsi="Arial" w:cs="Arial"/>
          <w:sz w:val="20"/>
        </w:rPr>
      </w:pPr>
    </w:p>
    <w:sectPr w:rsidR="002840D3" w:rsidRPr="002E4E97" w:rsidSect="006F53B1">
      <w:headerReference w:type="default" r:id="rId9"/>
      <w:footerReference w:type="default" r:id="rId10"/>
      <w:footerReference w:type="first" r:id="rId11"/>
      <w:pgSz w:w="12240" w:h="15840" w:code="1"/>
      <w:pgMar w:top="1440" w:right="1440" w:bottom="1440" w:left="1440" w:header="720" w:footer="720" w:gutter="0"/>
      <w:paperSrc w:other="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80BB7" w14:textId="77777777" w:rsidR="00550BCD" w:rsidRDefault="00550BCD">
      <w:r>
        <w:separator/>
      </w:r>
    </w:p>
  </w:endnote>
  <w:endnote w:type="continuationSeparator" w:id="0">
    <w:p w14:paraId="6AA9445E" w14:textId="77777777" w:rsidR="00550BCD" w:rsidRDefault="0055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180648"/>
      <w:docPartObj>
        <w:docPartGallery w:val="Page Numbers (Bottom of Page)"/>
        <w:docPartUnique/>
      </w:docPartObj>
    </w:sdtPr>
    <w:sdtEndPr>
      <w:rPr>
        <w:rFonts w:ascii="Arial" w:hAnsi="Arial" w:cs="Arial"/>
        <w:sz w:val="20"/>
      </w:rPr>
    </w:sdtEndPr>
    <w:sdtContent>
      <w:sdt>
        <w:sdtPr>
          <w:rPr>
            <w:rFonts w:ascii="Arial" w:hAnsi="Arial" w:cs="Arial"/>
            <w:sz w:val="20"/>
          </w:rPr>
          <w:id w:val="1218716297"/>
          <w:docPartObj>
            <w:docPartGallery w:val="Page Numbers (Top of Page)"/>
            <w:docPartUnique/>
          </w:docPartObj>
        </w:sdtPr>
        <w:sdtEndPr/>
        <w:sdtContent>
          <w:p w14:paraId="4A391EA8" w14:textId="77777777" w:rsidR="00F8402F" w:rsidRPr="00D62631" w:rsidRDefault="00F8402F">
            <w:pPr>
              <w:pStyle w:val="Footer"/>
              <w:jc w:val="center"/>
              <w:rPr>
                <w:rFonts w:ascii="Arial" w:hAnsi="Arial" w:cs="Arial"/>
                <w:sz w:val="20"/>
              </w:rPr>
            </w:pPr>
            <w:r w:rsidRPr="00D62631">
              <w:rPr>
                <w:rFonts w:ascii="Arial" w:hAnsi="Arial" w:cs="Arial"/>
                <w:sz w:val="20"/>
              </w:rPr>
              <w:t xml:space="preserve">Page </w:t>
            </w:r>
            <w:r w:rsidRPr="00D62631">
              <w:rPr>
                <w:rFonts w:ascii="Arial" w:hAnsi="Arial" w:cs="Arial"/>
                <w:bCs/>
                <w:sz w:val="20"/>
              </w:rPr>
              <w:fldChar w:fldCharType="begin"/>
            </w:r>
            <w:r w:rsidRPr="00D62631">
              <w:rPr>
                <w:rFonts w:ascii="Arial" w:hAnsi="Arial" w:cs="Arial"/>
                <w:bCs/>
                <w:sz w:val="20"/>
              </w:rPr>
              <w:instrText xml:space="preserve"> PAGE </w:instrText>
            </w:r>
            <w:r w:rsidRPr="00D62631">
              <w:rPr>
                <w:rFonts w:ascii="Arial" w:hAnsi="Arial" w:cs="Arial"/>
                <w:bCs/>
                <w:sz w:val="20"/>
              </w:rPr>
              <w:fldChar w:fldCharType="separate"/>
            </w:r>
            <w:r w:rsidR="0043463C">
              <w:rPr>
                <w:rFonts w:ascii="Arial" w:hAnsi="Arial" w:cs="Arial"/>
                <w:bCs/>
                <w:noProof/>
                <w:sz w:val="20"/>
              </w:rPr>
              <w:t>2</w:t>
            </w:r>
            <w:r w:rsidRPr="00D62631">
              <w:rPr>
                <w:rFonts w:ascii="Arial" w:hAnsi="Arial" w:cs="Arial"/>
                <w:bCs/>
                <w:sz w:val="20"/>
              </w:rPr>
              <w:fldChar w:fldCharType="end"/>
            </w:r>
            <w:r w:rsidRPr="00D62631">
              <w:rPr>
                <w:rFonts w:ascii="Arial" w:hAnsi="Arial" w:cs="Arial"/>
                <w:sz w:val="20"/>
              </w:rPr>
              <w:t xml:space="preserve"> of </w:t>
            </w:r>
            <w:r w:rsidRPr="00D62631">
              <w:rPr>
                <w:rFonts w:ascii="Arial" w:hAnsi="Arial" w:cs="Arial"/>
                <w:bCs/>
                <w:sz w:val="20"/>
              </w:rPr>
              <w:fldChar w:fldCharType="begin"/>
            </w:r>
            <w:r w:rsidRPr="00D62631">
              <w:rPr>
                <w:rFonts w:ascii="Arial" w:hAnsi="Arial" w:cs="Arial"/>
                <w:bCs/>
                <w:sz w:val="20"/>
              </w:rPr>
              <w:instrText xml:space="preserve"> NUMPAGES  </w:instrText>
            </w:r>
            <w:r w:rsidRPr="00D62631">
              <w:rPr>
                <w:rFonts w:ascii="Arial" w:hAnsi="Arial" w:cs="Arial"/>
                <w:bCs/>
                <w:sz w:val="20"/>
              </w:rPr>
              <w:fldChar w:fldCharType="separate"/>
            </w:r>
            <w:r w:rsidR="0043463C">
              <w:rPr>
                <w:rFonts w:ascii="Arial" w:hAnsi="Arial" w:cs="Arial"/>
                <w:bCs/>
                <w:noProof/>
                <w:sz w:val="20"/>
              </w:rPr>
              <w:t>2</w:t>
            </w:r>
            <w:r w:rsidRPr="00D62631">
              <w:rPr>
                <w:rFonts w:ascii="Arial" w:hAnsi="Arial" w:cs="Arial"/>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40457790"/>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14:paraId="7181F170" w14:textId="77777777" w:rsidR="00F8402F" w:rsidRPr="00D62631" w:rsidRDefault="00F8402F">
            <w:pPr>
              <w:pStyle w:val="Footer"/>
              <w:jc w:val="center"/>
              <w:rPr>
                <w:rFonts w:ascii="Arial" w:hAnsi="Arial" w:cs="Arial"/>
                <w:sz w:val="20"/>
              </w:rPr>
            </w:pPr>
            <w:r w:rsidRPr="00D62631">
              <w:rPr>
                <w:rFonts w:ascii="Arial" w:hAnsi="Arial" w:cs="Arial"/>
                <w:sz w:val="20"/>
              </w:rPr>
              <w:t xml:space="preserve">Page </w:t>
            </w:r>
            <w:r w:rsidRPr="00D62631">
              <w:rPr>
                <w:rFonts w:ascii="Arial" w:hAnsi="Arial" w:cs="Arial"/>
                <w:bCs/>
                <w:sz w:val="20"/>
              </w:rPr>
              <w:fldChar w:fldCharType="begin"/>
            </w:r>
            <w:r w:rsidRPr="00D62631">
              <w:rPr>
                <w:rFonts w:ascii="Arial" w:hAnsi="Arial" w:cs="Arial"/>
                <w:bCs/>
                <w:sz w:val="20"/>
              </w:rPr>
              <w:instrText xml:space="preserve"> PAGE </w:instrText>
            </w:r>
            <w:r w:rsidRPr="00D62631">
              <w:rPr>
                <w:rFonts w:ascii="Arial" w:hAnsi="Arial" w:cs="Arial"/>
                <w:bCs/>
                <w:sz w:val="20"/>
              </w:rPr>
              <w:fldChar w:fldCharType="separate"/>
            </w:r>
            <w:r w:rsidR="0043463C">
              <w:rPr>
                <w:rFonts w:ascii="Arial" w:hAnsi="Arial" w:cs="Arial"/>
                <w:bCs/>
                <w:noProof/>
                <w:sz w:val="20"/>
              </w:rPr>
              <w:t>1</w:t>
            </w:r>
            <w:r w:rsidRPr="00D62631">
              <w:rPr>
                <w:rFonts w:ascii="Arial" w:hAnsi="Arial" w:cs="Arial"/>
                <w:bCs/>
                <w:sz w:val="20"/>
              </w:rPr>
              <w:fldChar w:fldCharType="end"/>
            </w:r>
            <w:r w:rsidRPr="00D62631">
              <w:rPr>
                <w:rFonts w:ascii="Arial" w:hAnsi="Arial" w:cs="Arial"/>
                <w:sz w:val="20"/>
              </w:rPr>
              <w:t xml:space="preserve"> of </w:t>
            </w:r>
            <w:r w:rsidRPr="00D62631">
              <w:rPr>
                <w:rFonts w:ascii="Arial" w:hAnsi="Arial" w:cs="Arial"/>
                <w:bCs/>
                <w:sz w:val="20"/>
              </w:rPr>
              <w:fldChar w:fldCharType="begin"/>
            </w:r>
            <w:r w:rsidRPr="00D62631">
              <w:rPr>
                <w:rFonts w:ascii="Arial" w:hAnsi="Arial" w:cs="Arial"/>
                <w:bCs/>
                <w:sz w:val="20"/>
              </w:rPr>
              <w:instrText xml:space="preserve"> NUMPAGES  </w:instrText>
            </w:r>
            <w:r w:rsidRPr="00D62631">
              <w:rPr>
                <w:rFonts w:ascii="Arial" w:hAnsi="Arial" w:cs="Arial"/>
                <w:bCs/>
                <w:sz w:val="20"/>
              </w:rPr>
              <w:fldChar w:fldCharType="separate"/>
            </w:r>
            <w:r w:rsidR="0043463C">
              <w:rPr>
                <w:rFonts w:ascii="Arial" w:hAnsi="Arial" w:cs="Arial"/>
                <w:bCs/>
                <w:noProof/>
                <w:sz w:val="20"/>
              </w:rPr>
              <w:t>2</w:t>
            </w:r>
            <w:r w:rsidRPr="00D62631">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0BD7" w14:textId="77777777" w:rsidR="00550BCD" w:rsidRDefault="00550BCD">
      <w:r>
        <w:separator/>
      </w:r>
    </w:p>
  </w:footnote>
  <w:footnote w:type="continuationSeparator" w:id="0">
    <w:p w14:paraId="418F1B63" w14:textId="77777777" w:rsidR="00550BCD" w:rsidRDefault="0055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C50F" w14:textId="4927A94E" w:rsidR="00F8402F" w:rsidRPr="0057041F" w:rsidRDefault="009600EF">
    <w:pPr>
      <w:pStyle w:val="Header"/>
      <w:rPr>
        <w:szCs w:val="24"/>
      </w:rPr>
    </w:pPr>
    <w:r>
      <w:rPr>
        <w:rFonts w:ascii="Arial" w:hAnsi="Arial" w:cs="Arial"/>
        <w:sz w:val="20"/>
      </w:rPr>
      <w:t xml:space="preserve">Louisiana </w:t>
    </w:r>
    <w:r w:rsidR="00142179">
      <w:rPr>
        <w:rFonts w:ascii="Arial" w:hAnsi="Arial" w:cs="Arial"/>
        <w:sz w:val="20"/>
      </w:rPr>
      <w:t>State Licensing Board for Contractors</w:t>
    </w:r>
    <w:r w:rsidR="00F8402F" w:rsidRPr="007532C5">
      <w:rPr>
        <w:rFonts w:ascii="Arial" w:hAnsi="Arial" w:cs="Arial"/>
        <w:sz w:val="20"/>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E2FA4"/>
    <w:multiLevelType w:val="hybridMultilevel"/>
    <w:tmpl w:val="A1F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650440"/>
    <w:multiLevelType w:val="hybridMultilevel"/>
    <w:tmpl w:val="2A88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6"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0470F5"/>
    <w:multiLevelType w:val="hybridMultilevel"/>
    <w:tmpl w:val="7662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A664CE"/>
    <w:multiLevelType w:val="hybridMultilevel"/>
    <w:tmpl w:val="0EFE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82693"/>
    <w:multiLevelType w:val="hybridMultilevel"/>
    <w:tmpl w:val="FF3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6059D"/>
    <w:multiLevelType w:val="hybridMultilevel"/>
    <w:tmpl w:val="1C4A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5476F9"/>
    <w:multiLevelType w:val="hybridMultilevel"/>
    <w:tmpl w:val="E1A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18311F"/>
    <w:multiLevelType w:val="hybridMultilevel"/>
    <w:tmpl w:val="7080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221DA"/>
    <w:multiLevelType w:val="hybridMultilevel"/>
    <w:tmpl w:val="E506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25"/>
  </w:num>
  <w:num w:numId="16">
    <w:abstractNumId w:val="17"/>
  </w:num>
  <w:num w:numId="17">
    <w:abstractNumId w:val="26"/>
  </w:num>
  <w:num w:numId="18">
    <w:abstractNumId w:val="27"/>
  </w:num>
  <w:num w:numId="19">
    <w:abstractNumId w:val="19"/>
  </w:num>
  <w:num w:numId="20">
    <w:abstractNumId w:val="28"/>
  </w:num>
  <w:num w:numId="21">
    <w:abstractNumId w:val="16"/>
  </w:num>
  <w:num w:numId="22">
    <w:abstractNumId w:val="29"/>
  </w:num>
  <w:num w:numId="23">
    <w:abstractNumId w:val="22"/>
  </w:num>
  <w:num w:numId="24">
    <w:abstractNumId w:val="11"/>
  </w:num>
  <w:num w:numId="25">
    <w:abstractNumId w:val="30"/>
  </w:num>
  <w:num w:numId="26">
    <w:abstractNumId w:val="10"/>
  </w:num>
  <w:num w:numId="27">
    <w:abstractNumId w:val="20"/>
  </w:num>
  <w:num w:numId="28">
    <w:abstractNumId w:val="21"/>
  </w:num>
  <w:num w:numId="29">
    <w:abstractNumId w:val="24"/>
  </w:num>
  <w:num w:numId="30">
    <w:abstractNumId w:val="14"/>
  </w:num>
  <w:num w:numId="31">
    <w:abstractNumId w:val="18"/>
  </w:num>
  <w:num w:numId="32">
    <w:abstractNumId w:val="25"/>
    <w:lvlOverride w:ilvl="0">
      <w:startOverride w:val="1"/>
    </w:lvlOverride>
  </w:num>
  <w:num w:numId="33">
    <w:abstractNumId w:val="2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22"/>
    <w:rsid w:val="000150F0"/>
    <w:rsid w:val="0002104C"/>
    <w:rsid w:val="00036FC5"/>
    <w:rsid w:val="00053DEA"/>
    <w:rsid w:val="00057EFA"/>
    <w:rsid w:val="000C1439"/>
    <w:rsid w:val="001075D0"/>
    <w:rsid w:val="00115C59"/>
    <w:rsid w:val="00142179"/>
    <w:rsid w:val="001900CD"/>
    <w:rsid w:val="00197A3F"/>
    <w:rsid w:val="001B1D37"/>
    <w:rsid w:val="001B63AA"/>
    <w:rsid w:val="001D7927"/>
    <w:rsid w:val="001F214D"/>
    <w:rsid w:val="001F7BC7"/>
    <w:rsid w:val="00201421"/>
    <w:rsid w:val="002068A8"/>
    <w:rsid w:val="00210992"/>
    <w:rsid w:val="00214672"/>
    <w:rsid w:val="002274DD"/>
    <w:rsid w:val="00271C82"/>
    <w:rsid w:val="00280F51"/>
    <w:rsid w:val="00281AC6"/>
    <w:rsid w:val="00281E37"/>
    <w:rsid w:val="002840D3"/>
    <w:rsid w:val="002914C6"/>
    <w:rsid w:val="002A072F"/>
    <w:rsid w:val="002A20A0"/>
    <w:rsid w:val="002A5766"/>
    <w:rsid w:val="002B3B86"/>
    <w:rsid w:val="002B56CD"/>
    <w:rsid w:val="002C7D96"/>
    <w:rsid w:val="002E3CC6"/>
    <w:rsid w:val="002E4E97"/>
    <w:rsid w:val="002E602F"/>
    <w:rsid w:val="002F6978"/>
    <w:rsid w:val="0030180A"/>
    <w:rsid w:val="003219A3"/>
    <w:rsid w:val="00322A44"/>
    <w:rsid w:val="00336272"/>
    <w:rsid w:val="003365D3"/>
    <w:rsid w:val="00360C72"/>
    <w:rsid w:val="0036248F"/>
    <w:rsid w:val="003751D3"/>
    <w:rsid w:val="0038159E"/>
    <w:rsid w:val="00391B9D"/>
    <w:rsid w:val="003B222E"/>
    <w:rsid w:val="003D270C"/>
    <w:rsid w:val="003F3C27"/>
    <w:rsid w:val="00406FB0"/>
    <w:rsid w:val="004175C7"/>
    <w:rsid w:val="00430738"/>
    <w:rsid w:val="00431441"/>
    <w:rsid w:val="00433BEE"/>
    <w:rsid w:val="0043463C"/>
    <w:rsid w:val="004553D9"/>
    <w:rsid w:val="00466A0D"/>
    <w:rsid w:val="00467F05"/>
    <w:rsid w:val="00471A50"/>
    <w:rsid w:val="00474E41"/>
    <w:rsid w:val="00483625"/>
    <w:rsid w:val="00485E2E"/>
    <w:rsid w:val="00496962"/>
    <w:rsid w:val="004A7575"/>
    <w:rsid w:val="005255F1"/>
    <w:rsid w:val="00545705"/>
    <w:rsid w:val="00546625"/>
    <w:rsid w:val="00550BCD"/>
    <w:rsid w:val="00555E64"/>
    <w:rsid w:val="00561086"/>
    <w:rsid w:val="0057041F"/>
    <w:rsid w:val="005830EC"/>
    <w:rsid w:val="005A2D33"/>
    <w:rsid w:val="005A30E1"/>
    <w:rsid w:val="005A5FDC"/>
    <w:rsid w:val="005B7E54"/>
    <w:rsid w:val="005D1D13"/>
    <w:rsid w:val="005D6F4B"/>
    <w:rsid w:val="005F41AA"/>
    <w:rsid w:val="00616A86"/>
    <w:rsid w:val="00620436"/>
    <w:rsid w:val="00625AD8"/>
    <w:rsid w:val="00634C0D"/>
    <w:rsid w:val="00642167"/>
    <w:rsid w:val="00646FA1"/>
    <w:rsid w:val="00667006"/>
    <w:rsid w:val="00676BF8"/>
    <w:rsid w:val="006844A4"/>
    <w:rsid w:val="00687F79"/>
    <w:rsid w:val="006A7148"/>
    <w:rsid w:val="006B4235"/>
    <w:rsid w:val="006B646B"/>
    <w:rsid w:val="006B7D91"/>
    <w:rsid w:val="006C4AA8"/>
    <w:rsid w:val="006D5022"/>
    <w:rsid w:val="006D6688"/>
    <w:rsid w:val="006F53B1"/>
    <w:rsid w:val="006F7926"/>
    <w:rsid w:val="0072044A"/>
    <w:rsid w:val="00724D2E"/>
    <w:rsid w:val="0072554C"/>
    <w:rsid w:val="00741AEC"/>
    <w:rsid w:val="00744251"/>
    <w:rsid w:val="007532C5"/>
    <w:rsid w:val="0076077F"/>
    <w:rsid w:val="0076564C"/>
    <w:rsid w:val="00775C54"/>
    <w:rsid w:val="00776C71"/>
    <w:rsid w:val="007A1C07"/>
    <w:rsid w:val="007B38B4"/>
    <w:rsid w:val="007B40D9"/>
    <w:rsid w:val="007B5870"/>
    <w:rsid w:val="007C0AE1"/>
    <w:rsid w:val="007E1AEF"/>
    <w:rsid w:val="007F1BF9"/>
    <w:rsid w:val="007F422F"/>
    <w:rsid w:val="00814703"/>
    <w:rsid w:val="00816EDF"/>
    <w:rsid w:val="00833E13"/>
    <w:rsid w:val="00856F3D"/>
    <w:rsid w:val="008717BB"/>
    <w:rsid w:val="00881F95"/>
    <w:rsid w:val="00884E7C"/>
    <w:rsid w:val="00892C8A"/>
    <w:rsid w:val="008941D7"/>
    <w:rsid w:val="008D73EC"/>
    <w:rsid w:val="008E5888"/>
    <w:rsid w:val="008F0523"/>
    <w:rsid w:val="00922184"/>
    <w:rsid w:val="00923EF3"/>
    <w:rsid w:val="009363A2"/>
    <w:rsid w:val="009457A6"/>
    <w:rsid w:val="009600EF"/>
    <w:rsid w:val="00960F94"/>
    <w:rsid w:val="00964D08"/>
    <w:rsid w:val="009822C4"/>
    <w:rsid w:val="009845A2"/>
    <w:rsid w:val="009A0D91"/>
    <w:rsid w:val="009C7E6D"/>
    <w:rsid w:val="00A06CBE"/>
    <w:rsid w:val="00A11C64"/>
    <w:rsid w:val="00A37BB6"/>
    <w:rsid w:val="00A44A7F"/>
    <w:rsid w:val="00A6504B"/>
    <w:rsid w:val="00A70C6C"/>
    <w:rsid w:val="00A712A4"/>
    <w:rsid w:val="00AC75C7"/>
    <w:rsid w:val="00B03F58"/>
    <w:rsid w:val="00B1061A"/>
    <w:rsid w:val="00B20660"/>
    <w:rsid w:val="00B2441B"/>
    <w:rsid w:val="00B43E13"/>
    <w:rsid w:val="00B47F9E"/>
    <w:rsid w:val="00B570E2"/>
    <w:rsid w:val="00B80706"/>
    <w:rsid w:val="00B84548"/>
    <w:rsid w:val="00B91C12"/>
    <w:rsid w:val="00BC59FD"/>
    <w:rsid w:val="00BC6EAB"/>
    <w:rsid w:val="00C038D5"/>
    <w:rsid w:val="00C405C3"/>
    <w:rsid w:val="00C4099C"/>
    <w:rsid w:val="00C45009"/>
    <w:rsid w:val="00C5000C"/>
    <w:rsid w:val="00C556BF"/>
    <w:rsid w:val="00C64507"/>
    <w:rsid w:val="00C668DD"/>
    <w:rsid w:val="00C95226"/>
    <w:rsid w:val="00CA1290"/>
    <w:rsid w:val="00CB1E11"/>
    <w:rsid w:val="00CF2296"/>
    <w:rsid w:val="00CF7ACD"/>
    <w:rsid w:val="00D13CF6"/>
    <w:rsid w:val="00D176DD"/>
    <w:rsid w:val="00D41D48"/>
    <w:rsid w:val="00D4645D"/>
    <w:rsid w:val="00D5406F"/>
    <w:rsid w:val="00D61237"/>
    <w:rsid w:val="00D62631"/>
    <w:rsid w:val="00D633C4"/>
    <w:rsid w:val="00D70570"/>
    <w:rsid w:val="00D73F09"/>
    <w:rsid w:val="00D82289"/>
    <w:rsid w:val="00D839C1"/>
    <w:rsid w:val="00D95987"/>
    <w:rsid w:val="00DA1C2E"/>
    <w:rsid w:val="00DC08FC"/>
    <w:rsid w:val="00DD188C"/>
    <w:rsid w:val="00DE4208"/>
    <w:rsid w:val="00E536E4"/>
    <w:rsid w:val="00E63E0A"/>
    <w:rsid w:val="00E70656"/>
    <w:rsid w:val="00E72AE0"/>
    <w:rsid w:val="00E73327"/>
    <w:rsid w:val="00E869CD"/>
    <w:rsid w:val="00E90B98"/>
    <w:rsid w:val="00EA1FCD"/>
    <w:rsid w:val="00EA288F"/>
    <w:rsid w:val="00EA7264"/>
    <w:rsid w:val="00EB696F"/>
    <w:rsid w:val="00F00652"/>
    <w:rsid w:val="00F131C9"/>
    <w:rsid w:val="00F20EAC"/>
    <w:rsid w:val="00F219E5"/>
    <w:rsid w:val="00F27EC3"/>
    <w:rsid w:val="00F34987"/>
    <w:rsid w:val="00F4602E"/>
    <w:rsid w:val="00F74930"/>
    <w:rsid w:val="00F74E9F"/>
    <w:rsid w:val="00F8402F"/>
    <w:rsid w:val="00FA0A1B"/>
    <w:rsid w:val="00FA2737"/>
    <w:rsid w:val="00FC0D19"/>
    <w:rsid w:val="00FD1CC5"/>
    <w:rsid w:val="00FE1BA6"/>
    <w:rsid w:val="00FE4BA4"/>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F817C3"/>
  <w15:docId w15:val="{7D6006F5-7783-4786-BEC3-C9F85B90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41F"/>
    <w:pPr>
      <w:jc w:val="both"/>
    </w:pPr>
    <w:rPr>
      <w:sz w:val="24"/>
    </w:rPr>
  </w:style>
  <w:style w:type="paragraph" w:styleId="Heading1">
    <w:name w:val="heading 1"/>
    <w:basedOn w:val="Normal"/>
    <w:next w:val="Normal"/>
    <w:qFormat/>
    <w:rsid w:val="0057041F"/>
    <w:pPr>
      <w:keepNext/>
      <w:numPr>
        <w:numId w:val="21"/>
      </w:numPr>
      <w:spacing w:before="240" w:after="60"/>
      <w:outlineLvl w:val="0"/>
    </w:pPr>
    <w:rPr>
      <w:b/>
      <w:kern w:val="28"/>
      <w:sz w:val="28"/>
    </w:rPr>
  </w:style>
  <w:style w:type="paragraph" w:styleId="Heading2">
    <w:name w:val="heading 2"/>
    <w:basedOn w:val="Normal"/>
    <w:next w:val="Normal"/>
    <w:qFormat/>
    <w:rsid w:val="0057041F"/>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57041F"/>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57041F"/>
    <w:pPr>
      <w:keepNext/>
      <w:numPr>
        <w:ilvl w:val="3"/>
        <w:numId w:val="21"/>
      </w:numPr>
      <w:spacing w:before="240" w:after="60"/>
      <w:outlineLvl w:val="3"/>
    </w:pPr>
    <w:rPr>
      <w:b/>
      <w:bCs/>
      <w:sz w:val="28"/>
      <w:szCs w:val="28"/>
    </w:rPr>
  </w:style>
  <w:style w:type="paragraph" w:styleId="Heading5">
    <w:name w:val="heading 5"/>
    <w:basedOn w:val="Normal"/>
    <w:next w:val="Normal"/>
    <w:qFormat/>
    <w:rsid w:val="0057041F"/>
    <w:pPr>
      <w:numPr>
        <w:ilvl w:val="4"/>
        <w:numId w:val="21"/>
      </w:numPr>
      <w:spacing w:before="240" w:after="60"/>
      <w:outlineLvl w:val="4"/>
    </w:pPr>
    <w:rPr>
      <w:b/>
      <w:bCs/>
      <w:i/>
      <w:iCs/>
      <w:sz w:val="26"/>
      <w:szCs w:val="26"/>
    </w:rPr>
  </w:style>
  <w:style w:type="paragraph" w:styleId="Heading6">
    <w:name w:val="heading 6"/>
    <w:basedOn w:val="Normal"/>
    <w:next w:val="Normal"/>
    <w:qFormat/>
    <w:rsid w:val="0057041F"/>
    <w:pPr>
      <w:numPr>
        <w:ilvl w:val="5"/>
        <w:numId w:val="21"/>
      </w:numPr>
      <w:spacing w:before="240" w:after="60"/>
      <w:outlineLvl w:val="5"/>
    </w:pPr>
    <w:rPr>
      <w:b/>
      <w:bCs/>
      <w:sz w:val="22"/>
      <w:szCs w:val="22"/>
    </w:rPr>
  </w:style>
  <w:style w:type="paragraph" w:styleId="Heading7">
    <w:name w:val="heading 7"/>
    <w:basedOn w:val="Normal"/>
    <w:next w:val="Normal"/>
    <w:qFormat/>
    <w:rsid w:val="0057041F"/>
    <w:pPr>
      <w:numPr>
        <w:ilvl w:val="6"/>
        <w:numId w:val="21"/>
      </w:numPr>
      <w:spacing w:before="240" w:after="60"/>
      <w:outlineLvl w:val="6"/>
    </w:pPr>
    <w:rPr>
      <w:szCs w:val="24"/>
    </w:rPr>
  </w:style>
  <w:style w:type="paragraph" w:styleId="Heading8">
    <w:name w:val="heading 8"/>
    <w:basedOn w:val="Normal"/>
    <w:next w:val="Normal"/>
    <w:qFormat/>
    <w:rsid w:val="0057041F"/>
    <w:pPr>
      <w:numPr>
        <w:ilvl w:val="7"/>
        <w:numId w:val="21"/>
      </w:numPr>
      <w:spacing w:before="240" w:after="60"/>
      <w:outlineLvl w:val="7"/>
    </w:pPr>
    <w:rPr>
      <w:i/>
      <w:iCs/>
      <w:szCs w:val="24"/>
    </w:rPr>
  </w:style>
  <w:style w:type="paragraph" w:styleId="Heading9">
    <w:name w:val="heading 9"/>
    <w:basedOn w:val="Normal"/>
    <w:next w:val="Normal"/>
    <w:qFormat/>
    <w:rsid w:val="0057041F"/>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041F"/>
    <w:pPr>
      <w:tabs>
        <w:tab w:val="center" w:pos="4320"/>
        <w:tab w:val="right" w:pos="8640"/>
      </w:tabs>
    </w:pPr>
  </w:style>
  <w:style w:type="paragraph" w:styleId="Footer">
    <w:name w:val="footer"/>
    <w:basedOn w:val="Normal"/>
    <w:link w:val="FooterChar"/>
    <w:uiPriority w:val="99"/>
    <w:rsid w:val="0057041F"/>
    <w:pPr>
      <w:tabs>
        <w:tab w:val="center" w:pos="4320"/>
        <w:tab w:val="right" w:pos="8640"/>
      </w:tabs>
    </w:pPr>
  </w:style>
  <w:style w:type="character" w:styleId="PageNumber">
    <w:name w:val="page number"/>
    <w:basedOn w:val="DefaultParagraphFont"/>
    <w:semiHidden/>
    <w:rsid w:val="0057041F"/>
  </w:style>
  <w:style w:type="paragraph" w:styleId="BalloonText">
    <w:name w:val="Balloon Text"/>
    <w:basedOn w:val="Normal"/>
    <w:semiHidden/>
    <w:rsid w:val="003365D3"/>
    <w:rPr>
      <w:rFonts w:ascii="Tahoma" w:hAnsi="Tahoma" w:cs="Tahoma"/>
      <w:sz w:val="16"/>
      <w:szCs w:val="16"/>
    </w:rPr>
  </w:style>
  <w:style w:type="character" w:styleId="Hyperlink">
    <w:name w:val="Hyperlink"/>
    <w:semiHidden/>
    <w:rsid w:val="0057041F"/>
    <w:rPr>
      <w:color w:val="0000FF"/>
      <w:u w:val="single"/>
    </w:rPr>
  </w:style>
  <w:style w:type="paragraph" w:customStyle="1" w:styleId="NoteHead">
    <w:name w:val="Note Head"/>
    <w:basedOn w:val="Normal"/>
    <w:next w:val="Normal"/>
    <w:rsid w:val="0057041F"/>
    <w:pPr>
      <w:jc w:val="left"/>
    </w:pPr>
    <w:rPr>
      <w:b/>
      <w:szCs w:val="24"/>
    </w:rPr>
  </w:style>
  <w:style w:type="paragraph" w:customStyle="1" w:styleId="Indent1">
    <w:name w:val="Indent 1"/>
    <w:rsid w:val="0057041F"/>
    <w:pPr>
      <w:numPr>
        <w:numId w:val="1"/>
      </w:numPr>
      <w:tabs>
        <w:tab w:val="clear" w:pos="0"/>
      </w:tabs>
      <w:ind w:left="720"/>
    </w:pPr>
    <w:rPr>
      <w:sz w:val="24"/>
    </w:rPr>
  </w:style>
  <w:style w:type="paragraph" w:customStyle="1" w:styleId="NumberList1">
    <w:name w:val="Number List 1"/>
    <w:autoRedefine/>
    <w:rsid w:val="0057041F"/>
    <w:pPr>
      <w:tabs>
        <w:tab w:val="left" w:pos="880"/>
      </w:tabs>
      <w:spacing w:after="240"/>
    </w:pPr>
    <w:rPr>
      <w:sz w:val="24"/>
      <w:szCs w:val="24"/>
    </w:rPr>
  </w:style>
  <w:style w:type="paragraph" w:customStyle="1" w:styleId="docname">
    <w:name w:val="docname"/>
    <w:rsid w:val="0057041F"/>
    <w:rPr>
      <w:caps/>
      <w:sz w:val="12"/>
      <w:szCs w:val="12"/>
    </w:rPr>
  </w:style>
  <w:style w:type="paragraph" w:customStyle="1" w:styleId="ListIndent">
    <w:name w:val="List Indent"/>
    <w:rsid w:val="0057041F"/>
    <w:pPr>
      <w:spacing w:after="120"/>
      <w:ind w:left="720" w:hanging="720"/>
    </w:pPr>
    <w:rPr>
      <w:sz w:val="24"/>
      <w:szCs w:val="22"/>
    </w:rPr>
  </w:style>
  <w:style w:type="paragraph" w:customStyle="1" w:styleId="ListIndent1">
    <w:name w:val="List Indent 1"/>
    <w:basedOn w:val="ListIndent"/>
    <w:rsid w:val="0057041F"/>
    <w:pPr>
      <w:ind w:left="1440"/>
    </w:pPr>
  </w:style>
  <w:style w:type="paragraph" w:customStyle="1" w:styleId="ListIndent2">
    <w:name w:val="List Indent 2"/>
    <w:basedOn w:val="ListIndent1"/>
    <w:rsid w:val="0057041F"/>
    <w:pPr>
      <w:ind w:left="2160"/>
    </w:pPr>
  </w:style>
  <w:style w:type="paragraph" w:customStyle="1" w:styleId="ListIndent3">
    <w:name w:val="List Indent 3"/>
    <w:basedOn w:val="ListIndent2"/>
    <w:rsid w:val="0057041F"/>
    <w:pPr>
      <w:ind w:left="2880"/>
    </w:pPr>
  </w:style>
  <w:style w:type="paragraph" w:styleId="ListNumber">
    <w:name w:val="List Number"/>
    <w:basedOn w:val="Normal"/>
    <w:semiHidden/>
    <w:rsid w:val="0057041F"/>
    <w:pPr>
      <w:numPr>
        <w:numId w:val="8"/>
      </w:numPr>
    </w:pPr>
  </w:style>
  <w:style w:type="paragraph" w:customStyle="1" w:styleId="NumberList">
    <w:name w:val="Number List"/>
    <w:rsid w:val="0057041F"/>
    <w:pPr>
      <w:numPr>
        <w:numId w:val="14"/>
      </w:numPr>
      <w:spacing w:after="240"/>
      <w:jc w:val="both"/>
    </w:pPr>
    <w:rPr>
      <w:sz w:val="24"/>
      <w:szCs w:val="24"/>
    </w:rPr>
  </w:style>
  <w:style w:type="paragraph" w:customStyle="1" w:styleId="Bullet">
    <w:name w:val="Bullet"/>
    <w:rsid w:val="0057041F"/>
    <w:pPr>
      <w:numPr>
        <w:numId w:val="15"/>
      </w:numPr>
      <w:spacing w:after="240"/>
      <w:jc w:val="both"/>
    </w:pPr>
    <w:rPr>
      <w:sz w:val="24"/>
      <w:szCs w:val="24"/>
    </w:rPr>
  </w:style>
  <w:style w:type="paragraph" w:customStyle="1" w:styleId="Bullet1">
    <w:name w:val="Bullet 1"/>
    <w:rsid w:val="0057041F"/>
    <w:pPr>
      <w:numPr>
        <w:numId w:val="16"/>
      </w:numPr>
      <w:spacing w:after="240"/>
      <w:jc w:val="both"/>
    </w:pPr>
    <w:rPr>
      <w:sz w:val="24"/>
      <w:szCs w:val="24"/>
    </w:rPr>
  </w:style>
  <w:style w:type="paragraph" w:customStyle="1" w:styleId="Bullet2">
    <w:name w:val="Bullet 2"/>
    <w:rsid w:val="0057041F"/>
    <w:pPr>
      <w:numPr>
        <w:numId w:val="17"/>
      </w:numPr>
      <w:spacing w:after="240"/>
    </w:pPr>
    <w:rPr>
      <w:sz w:val="24"/>
    </w:rPr>
  </w:style>
  <w:style w:type="paragraph" w:styleId="ListNumber2">
    <w:name w:val="List Number 2"/>
    <w:basedOn w:val="Normal"/>
    <w:semiHidden/>
    <w:rsid w:val="0057041F"/>
    <w:pPr>
      <w:numPr>
        <w:numId w:val="9"/>
      </w:numPr>
      <w:tabs>
        <w:tab w:val="clear" w:pos="720"/>
      </w:tabs>
    </w:pPr>
  </w:style>
  <w:style w:type="paragraph" w:customStyle="1" w:styleId="NumberList2">
    <w:name w:val="Number List 2"/>
    <w:rsid w:val="0057041F"/>
    <w:pPr>
      <w:numPr>
        <w:numId w:val="2"/>
      </w:numPr>
      <w:spacing w:after="240"/>
    </w:pPr>
    <w:rPr>
      <w:sz w:val="24"/>
      <w:szCs w:val="24"/>
    </w:rPr>
  </w:style>
  <w:style w:type="paragraph" w:customStyle="1" w:styleId="AcctTtl1">
    <w:name w:val="Acct Ttl 1"/>
    <w:rsid w:val="0057041F"/>
    <w:pPr>
      <w:tabs>
        <w:tab w:val="right" w:leader="dot" w:pos="10224"/>
      </w:tabs>
      <w:spacing w:after="240"/>
      <w:ind w:left="288" w:hanging="144"/>
      <w:jc w:val="both"/>
    </w:pPr>
    <w:rPr>
      <w:sz w:val="24"/>
      <w:szCs w:val="22"/>
    </w:rPr>
  </w:style>
  <w:style w:type="paragraph" w:customStyle="1" w:styleId="AcctTtl2">
    <w:name w:val="Acct Ttl 2"/>
    <w:rsid w:val="0057041F"/>
    <w:pPr>
      <w:tabs>
        <w:tab w:val="right" w:leader="dot" w:pos="10224"/>
      </w:tabs>
      <w:spacing w:after="240"/>
      <w:ind w:left="432" w:hanging="144"/>
      <w:jc w:val="both"/>
    </w:pPr>
    <w:rPr>
      <w:sz w:val="24"/>
      <w:szCs w:val="22"/>
    </w:rPr>
  </w:style>
  <w:style w:type="paragraph" w:customStyle="1" w:styleId="AcctTtl3">
    <w:name w:val="Acct Ttl 3"/>
    <w:rsid w:val="0057041F"/>
    <w:pPr>
      <w:tabs>
        <w:tab w:val="right" w:leader="dot" w:pos="10224"/>
      </w:tabs>
      <w:spacing w:after="240"/>
      <w:ind w:left="576" w:hanging="144"/>
    </w:pPr>
    <w:rPr>
      <w:sz w:val="24"/>
      <w:szCs w:val="22"/>
    </w:rPr>
  </w:style>
  <w:style w:type="paragraph" w:styleId="Closing">
    <w:name w:val="Closing"/>
    <w:basedOn w:val="Normal"/>
    <w:rsid w:val="0057041F"/>
    <w:pPr>
      <w:ind w:left="5040"/>
    </w:pPr>
    <w:rPr>
      <w:szCs w:val="22"/>
    </w:rPr>
  </w:style>
  <w:style w:type="paragraph" w:customStyle="1" w:styleId="NumberList3">
    <w:name w:val="Number List 3"/>
    <w:rsid w:val="0057041F"/>
    <w:pPr>
      <w:numPr>
        <w:numId w:val="13"/>
      </w:numPr>
      <w:spacing w:after="240"/>
      <w:jc w:val="both"/>
    </w:pPr>
    <w:rPr>
      <w:sz w:val="24"/>
      <w:szCs w:val="24"/>
    </w:rPr>
  </w:style>
  <w:style w:type="paragraph" w:customStyle="1" w:styleId="AcctTtl">
    <w:name w:val="Acct Ttl"/>
    <w:rsid w:val="0057041F"/>
    <w:pPr>
      <w:tabs>
        <w:tab w:val="right" w:leader="dot" w:pos="10224"/>
      </w:tabs>
      <w:spacing w:after="240"/>
      <w:ind w:left="144" w:hanging="144"/>
      <w:jc w:val="both"/>
    </w:pPr>
    <w:rPr>
      <w:sz w:val="24"/>
      <w:szCs w:val="22"/>
    </w:rPr>
  </w:style>
  <w:style w:type="paragraph" w:customStyle="1" w:styleId="ListL-Margin">
    <w:name w:val="List L-Margin"/>
    <w:basedOn w:val="Normal"/>
    <w:rsid w:val="0057041F"/>
    <w:pPr>
      <w:tabs>
        <w:tab w:val="left" w:pos="720"/>
      </w:tabs>
      <w:spacing w:after="120"/>
      <w:ind w:left="720" w:hanging="720"/>
    </w:pPr>
  </w:style>
  <w:style w:type="paragraph" w:styleId="Index1">
    <w:name w:val="index 1"/>
    <w:basedOn w:val="Normal"/>
    <w:next w:val="Normal"/>
    <w:autoRedefine/>
    <w:semiHidden/>
    <w:rsid w:val="0057041F"/>
    <w:pPr>
      <w:ind w:left="220" w:hanging="220"/>
    </w:pPr>
  </w:style>
  <w:style w:type="paragraph" w:customStyle="1" w:styleId="FooterLine">
    <w:name w:val="Footer Line"/>
    <w:rsid w:val="0057041F"/>
    <w:pPr>
      <w:pBdr>
        <w:top w:val="single" w:sz="4" w:space="1" w:color="333399"/>
      </w:pBdr>
    </w:pPr>
    <w:rPr>
      <w:sz w:val="24"/>
      <w:szCs w:val="24"/>
    </w:rPr>
  </w:style>
  <w:style w:type="paragraph" w:customStyle="1" w:styleId="LeftHeader">
    <w:name w:val="Left Header"/>
    <w:rsid w:val="0057041F"/>
    <w:pPr>
      <w:tabs>
        <w:tab w:val="right" w:leader="underscore" w:pos="9360"/>
      </w:tabs>
    </w:pPr>
    <w:rPr>
      <w:smallCaps/>
      <w:color w:val="333399"/>
      <w:sz w:val="32"/>
      <w:szCs w:val="32"/>
    </w:rPr>
  </w:style>
  <w:style w:type="paragraph" w:customStyle="1" w:styleId="RightHeader">
    <w:name w:val="Right Header"/>
    <w:basedOn w:val="Normal"/>
    <w:rsid w:val="0057041F"/>
    <w:pPr>
      <w:tabs>
        <w:tab w:val="right" w:leader="underscore" w:pos="9360"/>
      </w:tabs>
      <w:spacing w:after="360"/>
    </w:pPr>
    <w:rPr>
      <w:smallCaps/>
      <w:color w:val="333399"/>
      <w:sz w:val="32"/>
      <w:szCs w:val="32"/>
    </w:rPr>
  </w:style>
  <w:style w:type="paragraph" w:customStyle="1" w:styleId="Bulllet3">
    <w:name w:val="Bulllet 3"/>
    <w:rsid w:val="0057041F"/>
    <w:pPr>
      <w:numPr>
        <w:numId w:val="18"/>
      </w:numPr>
      <w:spacing w:after="240"/>
      <w:jc w:val="both"/>
    </w:pPr>
    <w:rPr>
      <w:sz w:val="24"/>
    </w:rPr>
  </w:style>
  <w:style w:type="paragraph" w:styleId="BodyText">
    <w:name w:val="Body Text"/>
    <w:basedOn w:val="Normal"/>
    <w:rsid w:val="0057041F"/>
  </w:style>
  <w:style w:type="paragraph" w:styleId="PlainText">
    <w:name w:val="Plain Text"/>
    <w:basedOn w:val="Normal"/>
    <w:semiHidden/>
    <w:rsid w:val="0057041F"/>
    <w:rPr>
      <w:rFonts w:ascii="Courier New" w:hAnsi="Courier New" w:cs="Courier New"/>
      <w:sz w:val="20"/>
    </w:rPr>
  </w:style>
  <w:style w:type="paragraph" w:styleId="Salutation">
    <w:name w:val="Salutation"/>
    <w:basedOn w:val="Normal"/>
    <w:next w:val="Normal"/>
    <w:semiHidden/>
    <w:rsid w:val="0057041F"/>
  </w:style>
  <w:style w:type="paragraph" w:styleId="Signature">
    <w:name w:val="Signature"/>
    <w:basedOn w:val="Normal"/>
    <w:semiHidden/>
    <w:rsid w:val="0057041F"/>
    <w:pPr>
      <w:ind w:left="4320"/>
    </w:pPr>
  </w:style>
  <w:style w:type="numbering" w:styleId="111111">
    <w:name w:val="Outline List 2"/>
    <w:basedOn w:val="NoList"/>
    <w:semiHidden/>
    <w:rsid w:val="0057041F"/>
    <w:pPr>
      <w:numPr>
        <w:numId w:val="19"/>
      </w:numPr>
    </w:pPr>
  </w:style>
  <w:style w:type="numbering" w:styleId="1ai">
    <w:name w:val="Outline List 1"/>
    <w:basedOn w:val="NoList"/>
    <w:semiHidden/>
    <w:rsid w:val="0057041F"/>
    <w:pPr>
      <w:numPr>
        <w:numId w:val="20"/>
      </w:numPr>
    </w:pPr>
  </w:style>
  <w:style w:type="numbering" w:styleId="ArticleSection">
    <w:name w:val="Outline List 3"/>
    <w:basedOn w:val="NoList"/>
    <w:semiHidden/>
    <w:rsid w:val="0057041F"/>
    <w:pPr>
      <w:numPr>
        <w:numId w:val="21"/>
      </w:numPr>
    </w:pPr>
  </w:style>
  <w:style w:type="paragraph" w:styleId="BlockText">
    <w:name w:val="Block Text"/>
    <w:basedOn w:val="Normal"/>
    <w:semiHidden/>
    <w:rsid w:val="0057041F"/>
    <w:pPr>
      <w:spacing w:after="120"/>
      <w:ind w:left="1440" w:right="1440"/>
    </w:pPr>
  </w:style>
  <w:style w:type="paragraph" w:styleId="BodyText2">
    <w:name w:val="Body Text 2"/>
    <w:basedOn w:val="Normal"/>
    <w:semiHidden/>
    <w:rsid w:val="0057041F"/>
    <w:pPr>
      <w:spacing w:after="120" w:line="480" w:lineRule="auto"/>
    </w:pPr>
  </w:style>
  <w:style w:type="paragraph" w:styleId="BodyText3">
    <w:name w:val="Body Text 3"/>
    <w:basedOn w:val="Normal"/>
    <w:semiHidden/>
    <w:rsid w:val="0057041F"/>
    <w:pPr>
      <w:spacing w:after="120"/>
    </w:pPr>
    <w:rPr>
      <w:sz w:val="16"/>
      <w:szCs w:val="16"/>
    </w:rPr>
  </w:style>
  <w:style w:type="paragraph" w:styleId="BodyTextFirstIndent">
    <w:name w:val="Body Text First Indent"/>
    <w:basedOn w:val="BodyText"/>
    <w:semiHidden/>
    <w:rsid w:val="0057041F"/>
    <w:pPr>
      <w:ind w:firstLine="210"/>
    </w:pPr>
  </w:style>
  <w:style w:type="paragraph" w:styleId="BodyTextIndent">
    <w:name w:val="Body Text Indent"/>
    <w:basedOn w:val="Normal"/>
    <w:semiHidden/>
    <w:rsid w:val="0057041F"/>
    <w:pPr>
      <w:spacing w:after="120"/>
      <w:ind w:left="360"/>
    </w:pPr>
  </w:style>
  <w:style w:type="paragraph" w:styleId="BodyTextFirstIndent2">
    <w:name w:val="Body Text First Indent 2"/>
    <w:basedOn w:val="BodyTextIndent"/>
    <w:semiHidden/>
    <w:rsid w:val="0057041F"/>
    <w:pPr>
      <w:ind w:firstLine="210"/>
    </w:pPr>
  </w:style>
  <w:style w:type="paragraph" w:styleId="BodyTextIndent2">
    <w:name w:val="Body Text Indent 2"/>
    <w:basedOn w:val="Normal"/>
    <w:semiHidden/>
    <w:rsid w:val="0057041F"/>
    <w:pPr>
      <w:spacing w:after="120" w:line="480" w:lineRule="auto"/>
      <w:ind w:left="360"/>
    </w:pPr>
  </w:style>
  <w:style w:type="paragraph" w:styleId="BodyTextIndent3">
    <w:name w:val="Body Text Indent 3"/>
    <w:basedOn w:val="Normal"/>
    <w:semiHidden/>
    <w:rsid w:val="0057041F"/>
    <w:pPr>
      <w:spacing w:after="120"/>
      <w:ind w:left="360"/>
    </w:pPr>
    <w:rPr>
      <w:sz w:val="16"/>
      <w:szCs w:val="16"/>
    </w:rPr>
  </w:style>
  <w:style w:type="paragraph" w:styleId="Date">
    <w:name w:val="Date"/>
    <w:basedOn w:val="Normal"/>
    <w:next w:val="Normal"/>
    <w:semiHidden/>
    <w:rsid w:val="0057041F"/>
  </w:style>
  <w:style w:type="paragraph" w:styleId="E-mailSignature">
    <w:name w:val="E-mail Signature"/>
    <w:basedOn w:val="Normal"/>
    <w:semiHidden/>
    <w:rsid w:val="0057041F"/>
  </w:style>
  <w:style w:type="character" w:styleId="Emphasis">
    <w:name w:val="Emphasis"/>
    <w:qFormat/>
    <w:rsid w:val="0057041F"/>
    <w:rPr>
      <w:i/>
      <w:iCs/>
    </w:rPr>
  </w:style>
  <w:style w:type="paragraph" w:styleId="EnvelopeAddress">
    <w:name w:val="envelope address"/>
    <w:basedOn w:val="Normal"/>
    <w:semiHidden/>
    <w:rsid w:val="0057041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7041F"/>
    <w:rPr>
      <w:rFonts w:ascii="Arial" w:hAnsi="Arial" w:cs="Arial"/>
      <w:sz w:val="20"/>
    </w:rPr>
  </w:style>
  <w:style w:type="character" w:styleId="FollowedHyperlink">
    <w:name w:val="FollowedHyperlink"/>
    <w:semiHidden/>
    <w:rsid w:val="0057041F"/>
    <w:rPr>
      <w:color w:val="800080"/>
      <w:u w:val="single"/>
    </w:rPr>
  </w:style>
  <w:style w:type="character" w:styleId="HTMLAcronym">
    <w:name w:val="HTML Acronym"/>
    <w:basedOn w:val="DefaultParagraphFont"/>
    <w:semiHidden/>
    <w:rsid w:val="0057041F"/>
  </w:style>
  <w:style w:type="paragraph" w:styleId="HTMLAddress">
    <w:name w:val="HTML Address"/>
    <w:basedOn w:val="Normal"/>
    <w:semiHidden/>
    <w:rsid w:val="0057041F"/>
    <w:rPr>
      <w:i/>
      <w:iCs/>
    </w:rPr>
  </w:style>
  <w:style w:type="character" w:styleId="HTMLCite">
    <w:name w:val="HTML Cite"/>
    <w:semiHidden/>
    <w:rsid w:val="0057041F"/>
    <w:rPr>
      <w:i/>
      <w:iCs/>
    </w:rPr>
  </w:style>
  <w:style w:type="character" w:styleId="HTMLCode">
    <w:name w:val="HTML Code"/>
    <w:semiHidden/>
    <w:rsid w:val="0057041F"/>
    <w:rPr>
      <w:rFonts w:ascii="Courier New" w:hAnsi="Courier New" w:cs="Courier New"/>
      <w:sz w:val="20"/>
      <w:szCs w:val="20"/>
    </w:rPr>
  </w:style>
  <w:style w:type="character" w:styleId="HTMLDefinition">
    <w:name w:val="HTML Definition"/>
    <w:semiHidden/>
    <w:rsid w:val="0057041F"/>
    <w:rPr>
      <w:i/>
      <w:iCs/>
    </w:rPr>
  </w:style>
  <w:style w:type="character" w:styleId="HTMLKeyboard">
    <w:name w:val="HTML Keyboard"/>
    <w:semiHidden/>
    <w:rsid w:val="0057041F"/>
    <w:rPr>
      <w:rFonts w:ascii="Courier New" w:hAnsi="Courier New" w:cs="Courier New"/>
      <w:sz w:val="20"/>
      <w:szCs w:val="20"/>
    </w:rPr>
  </w:style>
  <w:style w:type="paragraph" w:styleId="HTMLPreformatted">
    <w:name w:val="HTML Preformatted"/>
    <w:basedOn w:val="Normal"/>
    <w:semiHidden/>
    <w:rsid w:val="0057041F"/>
    <w:rPr>
      <w:rFonts w:ascii="Courier New" w:hAnsi="Courier New" w:cs="Courier New"/>
      <w:sz w:val="20"/>
    </w:rPr>
  </w:style>
  <w:style w:type="character" w:styleId="HTMLSample">
    <w:name w:val="HTML Sample"/>
    <w:semiHidden/>
    <w:rsid w:val="0057041F"/>
    <w:rPr>
      <w:rFonts w:ascii="Courier New" w:hAnsi="Courier New" w:cs="Courier New"/>
    </w:rPr>
  </w:style>
  <w:style w:type="character" w:styleId="HTMLTypewriter">
    <w:name w:val="HTML Typewriter"/>
    <w:semiHidden/>
    <w:rsid w:val="0057041F"/>
    <w:rPr>
      <w:rFonts w:ascii="Courier New" w:hAnsi="Courier New" w:cs="Courier New"/>
      <w:sz w:val="20"/>
      <w:szCs w:val="20"/>
    </w:rPr>
  </w:style>
  <w:style w:type="character" w:styleId="HTMLVariable">
    <w:name w:val="HTML Variable"/>
    <w:semiHidden/>
    <w:rsid w:val="0057041F"/>
    <w:rPr>
      <w:i/>
      <w:iCs/>
    </w:rPr>
  </w:style>
  <w:style w:type="character" w:styleId="LineNumber">
    <w:name w:val="line number"/>
    <w:basedOn w:val="DefaultParagraphFont"/>
    <w:semiHidden/>
    <w:rsid w:val="0057041F"/>
  </w:style>
  <w:style w:type="paragraph" w:styleId="List">
    <w:name w:val="List"/>
    <w:basedOn w:val="Normal"/>
    <w:semiHidden/>
    <w:rsid w:val="0057041F"/>
    <w:pPr>
      <w:ind w:left="360" w:hanging="360"/>
    </w:pPr>
  </w:style>
  <w:style w:type="paragraph" w:styleId="List2">
    <w:name w:val="List 2"/>
    <w:basedOn w:val="Normal"/>
    <w:semiHidden/>
    <w:rsid w:val="0057041F"/>
    <w:pPr>
      <w:ind w:left="720" w:hanging="360"/>
    </w:pPr>
  </w:style>
  <w:style w:type="paragraph" w:styleId="List3">
    <w:name w:val="List 3"/>
    <w:basedOn w:val="Normal"/>
    <w:semiHidden/>
    <w:rsid w:val="0057041F"/>
    <w:pPr>
      <w:ind w:left="1080" w:hanging="360"/>
    </w:pPr>
  </w:style>
  <w:style w:type="paragraph" w:styleId="List4">
    <w:name w:val="List 4"/>
    <w:basedOn w:val="Normal"/>
    <w:semiHidden/>
    <w:rsid w:val="0057041F"/>
    <w:pPr>
      <w:ind w:left="1440" w:hanging="360"/>
    </w:pPr>
  </w:style>
  <w:style w:type="paragraph" w:styleId="List5">
    <w:name w:val="List 5"/>
    <w:basedOn w:val="Normal"/>
    <w:semiHidden/>
    <w:rsid w:val="0057041F"/>
    <w:pPr>
      <w:ind w:left="1800" w:hanging="360"/>
    </w:pPr>
  </w:style>
  <w:style w:type="paragraph" w:styleId="ListBullet">
    <w:name w:val="List Bullet"/>
    <w:basedOn w:val="Normal"/>
    <w:autoRedefine/>
    <w:semiHidden/>
    <w:rsid w:val="0057041F"/>
    <w:pPr>
      <w:numPr>
        <w:numId w:val="3"/>
      </w:numPr>
      <w:ind w:left="0" w:firstLine="0"/>
    </w:pPr>
  </w:style>
  <w:style w:type="paragraph" w:styleId="ListBullet2">
    <w:name w:val="List Bullet 2"/>
    <w:basedOn w:val="Normal"/>
    <w:autoRedefine/>
    <w:semiHidden/>
    <w:rsid w:val="0057041F"/>
    <w:pPr>
      <w:numPr>
        <w:numId w:val="4"/>
      </w:numPr>
    </w:pPr>
  </w:style>
  <w:style w:type="paragraph" w:styleId="ListBullet3">
    <w:name w:val="List Bullet 3"/>
    <w:basedOn w:val="Normal"/>
    <w:autoRedefine/>
    <w:semiHidden/>
    <w:rsid w:val="0057041F"/>
    <w:pPr>
      <w:numPr>
        <w:numId w:val="5"/>
      </w:numPr>
    </w:pPr>
  </w:style>
  <w:style w:type="paragraph" w:styleId="ListBullet4">
    <w:name w:val="List Bullet 4"/>
    <w:basedOn w:val="Normal"/>
    <w:autoRedefine/>
    <w:semiHidden/>
    <w:rsid w:val="0057041F"/>
    <w:pPr>
      <w:numPr>
        <w:numId w:val="6"/>
      </w:numPr>
    </w:pPr>
  </w:style>
  <w:style w:type="paragraph" w:styleId="ListBullet5">
    <w:name w:val="List Bullet 5"/>
    <w:basedOn w:val="Normal"/>
    <w:autoRedefine/>
    <w:semiHidden/>
    <w:rsid w:val="0057041F"/>
    <w:pPr>
      <w:numPr>
        <w:numId w:val="7"/>
      </w:numPr>
    </w:pPr>
  </w:style>
  <w:style w:type="paragraph" w:styleId="ListContinue">
    <w:name w:val="List Continue"/>
    <w:basedOn w:val="Normal"/>
    <w:semiHidden/>
    <w:rsid w:val="0057041F"/>
    <w:pPr>
      <w:spacing w:after="120"/>
      <w:ind w:left="360"/>
    </w:pPr>
  </w:style>
  <w:style w:type="paragraph" w:styleId="ListContinue2">
    <w:name w:val="List Continue 2"/>
    <w:basedOn w:val="Normal"/>
    <w:semiHidden/>
    <w:rsid w:val="0057041F"/>
    <w:pPr>
      <w:spacing w:after="120"/>
      <w:ind w:left="720"/>
    </w:pPr>
  </w:style>
  <w:style w:type="paragraph" w:styleId="ListContinue3">
    <w:name w:val="List Continue 3"/>
    <w:basedOn w:val="Normal"/>
    <w:semiHidden/>
    <w:rsid w:val="0057041F"/>
    <w:pPr>
      <w:spacing w:after="120"/>
      <w:ind w:left="1080"/>
    </w:pPr>
  </w:style>
  <w:style w:type="paragraph" w:styleId="ListContinue4">
    <w:name w:val="List Continue 4"/>
    <w:basedOn w:val="Normal"/>
    <w:semiHidden/>
    <w:rsid w:val="0057041F"/>
    <w:pPr>
      <w:spacing w:after="120"/>
      <w:ind w:left="1440"/>
    </w:pPr>
  </w:style>
  <w:style w:type="paragraph" w:styleId="ListContinue5">
    <w:name w:val="List Continue 5"/>
    <w:basedOn w:val="Normal"/>
    <w:semiHidden/>
    <w:rsid w:val="0057041F"/>
    <w:pPr>
      <w:spacing w:after="120"/>
      <w:ind w:left="1800"/>
    </w:pPr>
  </w:style>
  <w:style w:type="paragraph" w:styleId="ListNumber3">
    <w:name w:val="List Number 3"/>
    <w:basedOn w:val="Normal"/>
    <w:semiHidden/>
    <w:rsid w:val="0057041F"/>
    <w:pPr>
      <w:numPr>
        <w:numId w:val="10"/>
      </w:numPr>
    </w:pPr>
  </w:style>
  <w:style w:type="paragraph" w:styleId="ListNumber4">
    <w:name w:val="List Number 4"/>
    <w:basedOn w:val="Normal"/>
    <w:semiHidden/>
    <w:rsid w:val="0057041F"/>
    <w:pPr>
      <w:numPr>
        <w:numId w:val="11"/>
      </w:numPr>
    </w:pPr>
  </w:style>
  <w:style w:type="paragraph" w:styleId="ListNumber5">
    <w:name w:val="List Number 5"/>
    <w:basedOn w:val="Normal"/>
    <w:semiHidden/>
    <w:rsid w:val="0057041F"/>
    <w:pPr>
      <w:numPr>
        <w:numId w:val="12"/>
      </w:numPr>
    </w:pPr>
  </w:style>
  <w:style w:type="paragraph" w:styleId="MessageHeader">
    <w:name w:val="Message Header"/>
    <w:basedOn w:val="Normal"/>
    <w:semiHidden/>
    <w:rsid w:val="005704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57041F"/>
    <w:rPr>
      <w:szCs w:val="24"/>
    </w:rPr>
  </w:style>
  <w:style w:type="paragraph" w:styleId="NormalIndent">
    <w:name w:val="Normal Indent"/>
    <w:basedOn w:val="Normal"/>
    <w:semiHidden/>
    <w:rsid w:val="0057041F"/>
    <w:pPr>
      <w:ind w:left="720"/>
    </w:pPr>
  </w:style>
  <w:style w:type="paragraph" w:styleId="NoteHeading">
    <w:name w:val="Note Heading"/>
    <w:basedOn w:val="Normal"/>
    <w:next w:val="Normal"/>
    <w:semiHidden/>
    <w:rsid w:val="0057041F"/>
  </w:style>
  <w:style w:type="character" w:styleId="Strong">
    <w:name w:val="Strong"/>
    <w:qFormat/>
    <w:rsid w:val="0057041F"/>
    <w:rPr>
      <w:b/>
      <w:bCs/>
    </w:rPr>
  </w:style>
  <w:style w:type="paragraph" w:styleId="Subtitle">
    <w:name w:val="Subtitle"/>
    <w:basedOn w:val="Normal"/>
    <w:qFormat/>
    <w:rsid w:val="0057041F"/>
    <w:pPr>
      <w:spacing w:after="60"/>
      <w:jc w:val="center"/>
      <w:outlineLvl w:val="1"/>
    </w:pPr>
    <w:rPr>
      <w:rFonts w:ascii="Arial" w:hAnsi="Arial" w:cs="Arial"/>
      <w:szCs w:val="24"/>
    </w:rPr>
  </w:style>
  <w:style w:type="table" w:styleId="Table3Deffects1">
    <w:name w:val="Table 3D effects 1"/>
    <w:basedOn w:val="TableNormal"/>
    <w:semiHidden/>
    <w:rsid w:val="0057041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041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041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041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041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041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041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041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041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041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041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041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041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041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041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041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041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041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041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041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041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041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041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041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041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041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041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041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041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041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041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041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041F"/>
    <w:pPr>
      <w:spacing w:before="240" w:after="60"/>
      <w:jc w:val="center"/>
      <w:outlineLvl w:val="0"/>
    </w:pPr>
    <w:rPr>
      <w:rFonts w:ascii="Arial" w:hAnsi="Arial" w:cs="Arial"/>
      <w:b/>
      <w:bCs/>
      <w:kern w:val="28"/>
      <w:sz w:val="32"/>
      <w:szCs w:val="32"/>
    </w:rPr>
  </w:style>
  <w:style w:type="paragraph" w:customStyle="1" w:styleId="Indent1Head">
    <w:name w:val="Indent 1 Head"/>
    <w:rsid w:val="0057041F"/>
    <w:pPr>
      <w:tabs>
        <w:tab w:val="left" w:pos="720"/>
        <w:tab w:val="left" w:pos="1440"/>
      </w:tabs>
      <w:ind w:left="720"/>
    </w:pPr>
    <w:rPr>
      <w:b/>
      <w:sz w:val="24"/>
      <w:szCs w:val="22"/>
    </w:rPr>
  </w:style>
  <w:style w:type="paragraph" w:customStyle="1" w:styleId="Indent2">
    <w:name w:val="Indent 2"/>
    <w:rsid w:val="0057041F"/>
    <w:pPr>
      <w:ind w:left="1440"/>
      <w:jc w:val="both"/>
    </w:pPr>
    <w:rPr>
      <w:sz w:val="24"/>
      <w:szCs w:val="24"/>
    </w:rPr>
  </w:style>
  <w:style w:type="paragraph" w:customStyle="1" w:styleId="Indent2Head">
    <w:name w:val="Indent 2 Head"/>
    <w:basedOn w:val="Normal"/>
    <w:rsid w:val="0057041F"/>
    <w:pPr>
      <w:tabs>
        <w:tab w:val="left" w:pos="1440"/>
        <w:tab w:val="left" w:pos="2160"/>
      </w:tabs>
      <w:ind w:left="1440"/>
    </w:pPr>
    <w:rPr>
      <w:b/>
      <w:szCs w:val="24"/>
    </w:rPr>
  </w:style>
  <w:style w:type="paragraph" w:customStyle="1" w:styleId="Indent3">
    <w:name w:val="Indent 3"/>
    <w:rsid w:val="0057041F"/>
    <w:pPr>
      <w:spacing w:after="240"/>
      <w:ind w:left="2160"/>
      <w:jc w:val="both"/>
    </w:pPr>
    <w:rPr>
      <w:sz w:val="24"/>
      <w:szCs w:val="24"/>
    </w:rPr>
  </w:style>
  <w:style w:type="paragraph" w:customStyle="1" w:styleId="Indent3Head">
    <w:name w:val="Indent 3 Head"/>
    <w:rsid w:val="0057041F"/>
    <w:pPr>
      <w:tabs>
        <w:tab w:val="left" w:pos="2880"/>
      </w:tabs>
      <w:ind w:left="2160"/>
    </w:pPr>
    <w:rPr>
      <w:b/>
      <w:sz w:val="24"/>
      <w:szCs w:val="24"/>
    </w:rPr>
  </w:style>
  <w:style w:type="character" w:customStyle="1" w:styleId="HeaderChar">
    <w:name w:val="Header Char"/>
    <w:link w:val="Header"/>
    <w:uiPriority w:val="99"/>
    <w:rsid w:val="005F41AA"/>
    <w:rPr>
      <w:sz w:val="24"/>
    </w:rPr>
  </w:style>
  <w:style w:type="paragraph" w:styleId="ListParagraph">
    <w:name w:val="List Paragraph"/>
    <w:basedOn w:val="Normal"/>
    <w:uiPriority w:val="34"/>
    <w:qFormat/>
    <w:rsid w:val="00281E37"/>
    <w:pPr>
      <w:ind w:left="720"/>
      <w:contextualSpacing/>
    </w:pPr>
  </w:style>
  <w:style w:type="character" w:customStyle="1" w:styleId="FooterChar">
    <w:name w:val="Footer Char"/>
    <w:basedOn w:val="DefaultParagraphFont"/>
    <w:link w:val="Footer"/>
    <w:uiPriority w:val="99"/>
    <w:rsid w:val="00620436"/>
    <w:rPr>
      <w:sz w:val="24"/>
    </w:rPr>
  </w:style>
  <w:style w:type="character" w:styleId="UnresolvedMention">
    <w:name w:val="Unresolved Mention"/>
    <w:basedOn w:val="DefaultParagraphFont"/>
    <w:uiPriority w:val="99"/>
    <w:semiHidden/>
    <w:unhideWhenUsed/>
    <w:rsid w:val="00646FA1"/>
    <w:rPr>
      <w:color w:val="605E5C"/>
      <w:shd w:val="clear" w:color="auto" w:fill="E1DFDD"/>
    </w:rPr>
  </w:style>
  <w:style w:type="paragraph" w:styleId="CommentText">
    <w:name w:val="annotation text"/>
    <w:basedOn w:val="Normal"/>
    <w:link w:val="CommentTextChar"/>
    <w:semiHidden/>
    <w:rsid w:val="00646FA1"/>
    <w:pPr>
      <w:jc w:val="left"/>
    </w:pPr>
    <w:rPr>
      <w:sz w:val="20"/>
    </w:rPr>
  </w:style>
  <w:style w:type="character" w:customStyle="1" w:styleId="CommentTextChar">
    <w:name w:val="Comment Text Char"/>
    <w:basedOn w:val="DefaultParagraphFont"/>
    <w:link w:val="CommentText"/>
    <w:semiHidden/>
    <w:rsid w:val="00646FA1"/>
  </w:style>
  <w:style w:type="character" w:styleId="CommentReference">
    <w:name w:val="annotation reference"/>
    <w:basedOn w:val="DefaultParagraphFont"/>
    <w:uiPriority w:val="99"/>
    <w:semiHidden/>
    <w:unhideWhenUsed/>
    <w:rsid w:val="00646FA1"/>
    <w:rPr>
      <w:sz w:val="16"/>
      <w:szCs w:val="16"/>
    </w:rPr>
  </w:style>
  <w:style w:type="paragraph" w:styleId="CommentSubject">
    <w:name w:val="annotation subject"/>
    <w:basedOn w:val="CommentText"/>
    <w:next w:val="CommentText"/>
    <w:link w:val="CommentSubjectChar"/>
    <w:uiPriority w:val="99"/>
    <w:semiHidden/>
    <w:unhideWhenUsed/>
    <w:rsid w:val="009457A6"/>
    <w:pPr>
      <w:jc w:val="both"/>
    </w:pPr>
    <w:rPr>
      <w:b/>
      <w:bCs/>
    </w:rPr>
  </w:style>
  <w:style w:type="character" w:customStyle="1" w:styleId="CommentSubjectChar">
    <w:name w:val="Comment Subject Char"/>
    <w:basedOn w:val="CommentTextChar"/>
    <w:link w:val="CommentSubject"/>
    <w:uiPriority w:val="99"/>
    <w:semiHidden/>
    <w:rsid w:val="00945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eContracts@lla.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slbc.louisian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65</TotalTime>
  <Pages>2</Pages>
  <Words>563</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3873</CharactersWithSpaces>
  <SharedDoc>false</SharedDoc>
  <HLinks>
    <vt:vector size="18" baseType="variant">
      <vt:variant>
        <vt:i4>1114237</vt:i4>
      </vt:variant>
      <vt:variant>
        <vt:i4>6</vt:i4>
      </vt:variant>
      <vt:variant>
        <vt:i4>0</vt:i4>
      </vt:variant>
      <vt:variant>
        <vt:i4>5</vt:i4>
      </vt:variant>
      <vt:variant>
        <vt:lpwstr>mailto:nclement@lla.la.gov</vt:lpwstr>
      </vt:variant>
      <vt:variant>
        <vt:lpwstr/>
      </vt:variant>
      <vt:variant>
        <vt:i4>2752542</vt:i4>
      </vt:variant>
      <vt:variant>
        <vt:i4>3</vt:i4>
      </vt:variant>
      <vt:variant>
        <vt:i4>0</vt:i4>
      </vt:variant>
      <vt:variant>
        <vt:i4>5</vt:i4>
      </vt:variant>
      <vt:variant>
        <vt:lpwstr>http://www.lla.la.gov/userfiles/file/AUP_Report.doc</vt:lpwstr>
      </vt:variant>
      <vt:variant>
        <vt:lpwstr/>
      </vt:variant>
      <vt:variant>
        <vt:i4>3014765</vt:i4>
      </vt:variant>
      <vt:variant>
        <vt:i4>0</vt:i4>
      </vt:variant>
      <vt:variant>
        <vt:i4>0</vt:i4>
      </vt:variant>
      <vt:variant>
        <vt:i4>5</vt:i4>
      </vt:variant>
      <vt:variant>
        <vt:lpwstr>http://www.usskidd.com/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3</cp:revision>
  <cp:lastPrinted>2012-04-05T17:07:00Z</cp:lastPrinted>
  <dcterms:created xsi:type="dcterms:W3CDTF">2025-03-17T15:55:00Z</dcterms:created>
  <dcterms:modified xsi:type="dcterms:W3CDTF">2025-08-26T11:43:00Z</dcterms:modified>
</cp:coreProperties>
</file>